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1643" w14:textId="4E02F7D5" w:rsidR="00382E6D" w:rsidRDefault="00AF78F5" w:rsidP="00B567DE">
      <w:pPr>
        <w:pStyle w:val="Heading1"/>
        <w:jc w:val="center"/>
        <w:rPr>
          <w:sz w:val="32"/>
          <w:szCs w:val="32"/>
        </w:rPr>
      </w:pPr>
      <w:r>
        <w:rPr>
          <w:sz w:val="32"/>
          <w:szCs w:val="32"/>
        </w:rPr>
        <w:t>FUEL BUYERS LOSING MILLIONS A YEAR AS BUNKER INDUSTRY’S SHAME CONTINUES UNABATED</w:t>
      </w:r>
    </w:p>
    <w:p w14:paraId="6BEA11CD" w14:textId="77777777" w:rsidR="00AF78F5" w:rsidRPr="00AF78F5" w:rsidRDefault="00AF78F5" w:rsidP="00AF78F5"/>
    <w:p w14:paraId="2ED4DDD6" w14:textId="77777777" w:rsidR="00382E6D" w:rsidRPr="000E3054" w:rsidRDefault="00382E6D" w:rsidP="00382E6D">
      <w:pPr>
        <w:rPr>
          <w:rFonts w:cs="Arial"/>
          <w:b/>
          <w:bCs/>
        </w:rPr>
      </w:pPr>
    </w:p>
    <w:p w14:paraId="26ACD26A" w14:textId="6A68443A" w:rsidR="00382E6D" w:rsidRDefault="00382E6D" w:rsidP="00382E6D">
      <w:pPr>
        <w:rPr>
          <w:rFonts w:cs="Arial"/>
        </w:rPr>
      </w:pPr>
      <w:r w:rsidRPr="000E3054">
        <w:rPr>
          <w:rFonts w:cs="Arial"/>
        </w:rPr>
        <w:t>January 1</w:t>
      </w:r>
      <w:r w:rsidRPr="000E3054">
        <w:rPr>
          <w:rFonts w:cs="Arial"/>
          <w:vertAlign w:val="superscript"/>
        </w:rPr>
        <w:t>st</w:t>
      </w:r>
      <w:r w:rsidRPr="000E3054">
        <w:rPr>
          <w:rFonts w:cs="Arial"/>
        </w:rPr>
        <w:t>, 2017 was a massively important day for the bunkering industry; the day on which Singapore, the world’s largest bunker market, mandated mass flow meters (MFMs).</w:t>
      </w:r>
      <w:r w:rsidR="00D81147">
        <w:rPr>
          <w:rFonts w:cs="Arial"/>
        </w:rPr>
        <w:t xml:space="preserve"> </w:t>
      </w:r>
      <w:r w:rsidRPr="000E3054">
        <w:rPr>
          <w:rFonts w:cs="Arial"/>
        </w:rPr>
        <w:t>The Maritime Port Authority of Singapore (MPA) had prepared for years for this event, designing specific standards for MFM introduction</w:t>
      </w:r>
      <w:r w:rsidR="001E785B">
        <w:rPr>
          <w:rFonts w:cs="Arial"/>
        </w:rPr>
        <w:t>,</w:t>
      </w:r>
      <w:r w:rsidRPr="000E3054">
        <w:rPr>
          <w:rFonts w:cs="Arial"/>
        </w:rPr>
        <w:t xml:space="preserve"> certification</w:t>
      </w:r>
      <w:r w:rsidR="001E785B">
        <w:rPr>
          <w:rFonts w:cs="Arial"/>
        </w:rPr>
        <w:t>, and stringent regulations to ensure compliance and enforcement</w:t>
      </w:r>
      <w:r w:rsidRPr="000E3054">
        <w:rPr>
          <w:rFonts w:cs="Arial"/>
        </w:rPr>
        <w:t xml:space="preserve">.  Overnight the structure of the Singapore bunker market and the global bunker industry seemingly changed forever.   In an article published in late 2020, I speculated that this decision had saved the buyers in Singapore about $1.7 billion in fuel costs in less than four years! </w:t>
      </w:r>
    </w:p>
    <w:p w14:paraId="374F17E2" w14:textId="064881EB" w:rsidR="00382E6D" w:rsidRPr="000E3054" w:rsidRDefault="00382E6D" w:rsidP="00382E6D">
      <w:pPr>
        <w:rPr>
          <w:rFonts w:cs="Arial"/>
        </w:rPr>
      </w:pPr>
      <w:r w:rsidRPr="000E3054">
        <w:rPr>
          <w:rFonts w:cs="Arial"/>
        </w:rPr>
        <w:t xml:space="preserve"> </w:t>
      </w:r>
    </w:p>
    <w:p w14:paraId="70541B54" w14:textId="6867AD1B" w:rsidR="00382E6D" w:rsidRDefault="00382E6D" w:rsidP="00382E6D">
      <w:pPr>
        <w:rPr>
          <w:rFonts w:cs="Arial"/>
        </w:rPr>
      </w:pPr>
      <w:r w:rsidRPr="000E3054">
        <w:rPr>
          <w:rFonts w:cs="Arial"/>
        </w:rPr>
        <w:t>There is no doubt that the introduction of MFMs in Singapore financially benefited the buyers of fuel.</w:t>
      </w:r>
      <w:r w:rsidR="00D81147">
        <w:rPr>
          <w:rFonts w:cs="Arial"/>
        </w:rPr>
        <w:t xml:space="preserve"> </w:t>
      </w:r>
      <w:r w:rsidRPr="000E3054">
        <w:rPr>
          <w:rFonts w:cs="Arial"/>
        </w:rPr>
        <w:t>It also removed from the supply picture short deliveries of bunkers, by unscrupulous means or otherwise.</w:t>
      </w:r>
      <w:r w:rsidR="00D81147">
        <w:rPr>
          <w:rFonts w:cs="Arial"/>
        </w:rPr>
        <w:t xml:space="preserve"> </w:t>
      </w:r>
      <w:r w:rsidRPr="000E3054">
        <w:rPr>
          <w:rFonts w:cs="Arial"/>
        </w:rPr>
        <w:t xml:space="preserve">In conjunction with this, it established a financial logic to the market, making </w:t>
      </w:r>
      <w:r w:rsidR="001E785B">
        <w:rPr>
          <w:rFonts w:cs="Arial"/>
        </w:rPr>
        <w:t>it</w:t>
      </w:r>
      <w:r w:rsidR="001E785B" w:rsidRPr="000E3054">
        <w:rPr>
          <w:rFonts w:cs="Arial"/>
        </w:rPr>
        <w:t xml:space="preserve"> </w:t>
      </w:r>
      <w:r w:rsidRPr="000E3054">
        <w:rPr>
          <w:rFonts w:cs="Arial"/>
        </w:rPr>
        <w:t>impossible anymore to seemingly buy delivered bunkers below the cost of the original cargo, enabling prices to follow a consistent pattern where the ex-wharf bunker price was higher than the wholesale (MOPS) price and where the delivered price was higher still.</w:t>
      </w:r>
      <w:r w:rsidR="00D81147">
        <w:rPr>
          <w:rFonts w:cs="Arial"/>
        </w:rPr>
        <w:t xml:space="preserve"> </w:t>
      </w:r>
      <w:r w:rsidRPr="000E3054">
        <w:rPr>
          <w:rFonts w:cs="Arial"/>
        </w:rPr>
        <w:t xml:space="preserve">Under the pre-MFM era it was commonplace to see delivered bunker prices below wholesale prices as a clear sign of some form of malpractice. </w:t>
      </w:r>
    </w:p>
    <w:p w14:paraId="57B7FDD6" w14:textId="77777777" w:rsidR="00382E6D" w:rsidRPr="000E3054" w:rsidRDefault="00382E6D" w:rsidP="00382E6D">
      <w:pPr>
        <w:rPr>
          <w:rFonts w:cs="Arial"/>
        </w:rPr>
      </w:pPr>
    </w:p>
    <w:p w14:paraId="65A96ABC" w14:textId="6C68CCE2" w:rsidR="00382E6D" w:rsidRDefault="00382E6D" w:rsidP="00382E6D">
      <w:pPr>
        <w:rPr>
          <w:rFonts w:cs="Arial"/>
        </w:rPr>
      </w:pPr>
      <w:r w:rsidRPr="000E3054">
        <w:rPr>
          <w:rFonts w:cs="Arial"/>
        </w:rPr>
        <w:t>Prior to 2017, the Singapore bunker market had a poor reputation and it was not alone; arguably many of the world’s major bunker ports and a good number, but not all physical suppliers, in those ports carried an “equally as bad” reputation for short delivery.</w:t>
      </w:r>
      <w:r w:rsidR="00D81147">
        <w:rPr>
          <w:rFonts w:cs="Arial"/>
        </w:rPr>
        <w:t xml:space="preserve"> </w:t>
      </w:r>
      <w:r w:rsidRPr="000E3054">
        <w:rPr>
          <w:rFonts w:cs="Arial"/>
        </w:rPr>
        <w:t>So, given the recognition of Singapore’s success in rebuilding reputation through the introduction of MFM</w:t>
      </w:r>
      <w:r w:rsidR="001E785B">
        <w:rPr>
          <w:rFonts w:cs="Arial"/>
        </w:rPr>
        <w:t xml:space="preserve"> regulations</w:t>
      </w:r>
      <w:r w:rsidRPr="000E3054">
        <w:rPr>
          <w:rFonts w:cs="Arial"/>
        </w:rPr>
        <w:t>, one would assume that five years later, every major port would have adopted the same practice</w:t>
      </w:r>
      <w:r w:rsidR="001E785B">
        <w:rPr>
          <w:rFonts w:cs="Arial"/>
        </w:rPr>
        <w:t>s</w:t>
      </w:r>
      <w:r w:rsidRPr="000E3054">
        <w:rPr>
          <w:rFonts w:cs="Arial"/>
        </w:rPr>
        <w:t>.</w:t>
      </w:r>
      <w:r w:rsidR="00D81147">
        <w:rPr>
          <w:rFonts w:cs="Arial"/>
        </w:rPr>
        <w:t xml:space="preserve"> </w:t>
      </w:r>
      <w:r w:rsidRPr="000E3054">
        <w:rPr>
          <w:rFonts w:cs="Arial"/>
        </w:rPr>
        <w:t>However, this is not the case.  In fact no port, large or small, has joined Singapore in their efforts.</w:t>
      </w:r>
    </w:p>
    <w:p w14:paraId="1E0264E4" w14:textId="77777777" w:rsidR="00382E6D" w:rsidRPr="000E3054" w:rsidRDefault="00382E6D" w:rsidP="00382E6D">
      <w:pPr>
        <w:rPr>
          <w:rFonts w:cs="Arial"/>
        </w:rPr>
      </w:pPr>
    </w:p>
    <w:p w14:paraId="2F70AD00" w14:textId="30545AB6" w:rsidR="00382E6D" w:rsidRDefault="00382E6D" w:rsidP="00382E6D">
      <w:pPr>
        <w:rPr>
          <w:rFonts w:cs="Arial"/>
        </w:rPr>
      </w:pPr>
      <w:r w:rsidRPr="000E3054">
        <w:rPr>
          <w:rFonts w:cs="Arial"/>
        </w:rPr>
        <w:t>There has to be a logical explanation as to why port authorities, as well as ship owners and operators have not jumped at the chance.  Instead, they continue to make the decision to take delivery using archaic methods of gauging quantities that they would not accept for a delivery of heating oil or gasoline for cars.   Port authorities often cite their lack of authority (offsetting responsibility), don’t acknowledge the challenge in their ports or reference the lack of complaints from fuel buyers.</w:t>
      </w:r>
      <w:r w:rsidR="00D81147">
        <w:rPr>
          <w:rFonts w:cs="Arial"/>
        </w:rPr>
        <w:t xml:space="preserve"> </w:t>
      </w:r>
      <w:r w:rsidRPr="000E3054">
        <w:rPr>
          <w:rFonts w:cs="Arial"/>
        </w:rPr>
        <w:t>After all, if the buyers don’t complain, then how can there be a problem?</w:t>
      </w:r>
      <w:r w:rsidR="00D81147">
        <w:rPr>
          <w:rFonts w:cs="Arial"/>
        </w:rPr>
        <w:t xml:space="preserve"> </w:t>
      </w:r>
      <w:r w:rsidRPr="000E3054">
        <w:rPr>
          <w:rFonts w:cs="Arial"/>
        </w:rPr>
        <w:t xml:space="preserve">It’s a fair point. </w:t>
      </w:r>
    </w:p>
    <w:p w14:paraId="5F3DB237" w14:textId="77777777" w:rsidR="00382E6D" w:rsidRPr="000E3054" w:rsidRDefault="00382E6D" w:rsidP="00382E6D">
      <w:pPr>
        <w:rPr>
          <w:rFonts w:cs="Arial"/>
        </w:rPr>
      </w:pPr>
    </w:p>
    <w:p w14:paraId="10A9B8C3" w14:textId="27E70BE9" w:rsidR="00382E6D" w:rsidRDefault="00382E6D" w:rsidP="00382E6D">
      <w:pPr>
        <w:rPr>
          <w:rFonts w:cs="Arial"/>
        </w:rPr>
      </w:pPr>
      <w:r w:rsidRPr="000E3054">
        <w:rPr>
          <w:rFonts w:cs="Arial"/>
        </w:rPr>
        <w:t>The explanation for lack of action by both port authorities, local and national governments and buyers is a complicated one, although denial, cronyism, corruption and ignorance all play their part, as well as a lack of evidentiary proof and misguided buyer performance incentives.</w:t>
      </w:r>
      <w:r w:rsidR="00D81147">
        <w:rPr>
          <w:rFonts w:cs="Arial"/>
        </w:rPr>
        <w:t xml:space="preserve"> </w:t>
      </w:r>
      <w:r w:rsidRPr="000E3054">
        <w:rPr>
          <w:rFonts w:cs="Arial"/>
        </w:rPr>
        <w:t>However, it is hard to turn away from the simple, economic facts.</w:t>
      </w:r>
    </w:p>
    <w:p w14:paraId="35EF1D64" w14:textId="77777777" w:rsidR="00382E6D" w:rsidRPr="000E3054" w:rsidRDefault="00382E6D" w:rsidP="00382E6D">
      <w:pPr>
        <w:rPr>
          <w:rFonts w:cs="Arial"/>
        </w:rPr>
      </w:pPr>
    </w:p>
    <w:p w14:paraId="5A21C98F" w14:textId="0B88DF68" w:rsidR="00382E6D" w:rsidRDefault="00382E6D" w:rsidP="00382E6D">
      <w:pPr>
        <w:rPr>
          <w:rFonts w:cs="Arial"/>
        </w:rPr>
      </w:pPr>
      <w:r w:rsidRPr="000E3054">
        <w:rPr>
          <w:rFonts w:cs="Arial"/>
        </w:rPr>
        <w:t xml:space="preserve">During recent weeks Blue </w:t>
      </w:r>
      <w:r w:rsidRPr="000E3054">
        <w:rPr>
          <w:rFonts w:cs="Arial"/>
          <w:i/>
          <w:iCs/>
        </w:rPr>
        <w:t>Insight</w:t>
      </w:r>
      <w:r w:rsidRPr="000E3054">
        <w:rPr>
          <w:rFonts w:cs="Arial"/>
        </w:rPr>
        <w:t xml:space="preserve"> has conducted research for a global report on this challenge with a view to publishing a broad study later this year that lays out the causes and damage, financial or otherwise created by this issue within the bunkering sector.</w:t>
      </w:r>
      <w:r>
        <w:rPr>
          <w:rFonts w:cs="Arial"/>
        </w:rPr>
        <w:t xml:space="preserve"> </w:t>
      </w:r>
      <w:r w:rsidRPr="000E3054">
        <w:rPr>
          <w:rFonts w:cs="Arial"/>
        </w:rPr>
        <w:t>To fully understand the magnitude of the challenge research was conducted on the ports of Rotterdam and Fujairah, the second and third largest bunkering ports in the world.  In both locations bunker licensing regimes exist but mass flow meter</w:t>
      </w:r>
      <w:r w:rsidR="001E785B">
        <w:rPr>
          <w:rFonts w:cs="Arial"/>
        </w:rPr>
        <w:t xml:space="preserve"> regulations </w:t>
      </w:r>
      <w:r w:rsidRPr="000E3054">
        <w:rPr>
          <w:rFonts w:cs="Arial"/>
        </w:rPr>
        <w:t xml:space="preserve">are not (as yet) mandated. </w:t>
      </w:r>
    </w:p>
    <w:p w14:paraId="06871CFF" w14:textId="77777777" w:rsidR="00382E6D" w:rsidRPr="000E3054" w:rsidRDefault="00382E6D" w:rsidP="00382E6D">
      <w:pPr>
        <w:rPr>
          <w:rFonts w:cs="Arial"/>
        </w:rPr>
      </w:pPr>
    </w:p>
    <w:p w14:paraId="12BE99FA" w14:textId="26A02B5F" w:rsidR="00382E6D" w:rsidRDefault="00382E6D" w:rsidP="00382E6D">
      <w:pPr>
        <w:rPr>
          <w:rFonts w:cs="Arial"/>
        </w:rPr>
      </w:pPr>
      <w:r w:rsidRPr="000E3054">
        <w:rPr>
          <w:rFonts w:cs="Arial"/>
        </w:rPr>
        <w:t>We started by making one key assumption; that for an extended period of time (in this case the calendar year 2021) no supplier will continue to operate below an economic breakeven.</w:t>
      </w:r>
      <w:r>
        <w:rPr>
          <w:rFonts w:cs="Arial"/>
        </w:rPr>
        <w:t xml:space="preserve"> </w:t>
      </w:r>
      <w:r w:rsidRPr="000E3054">
        <w:rPr>
          <w:rFonts w:cs="Arial"/>
        </w:rPr>
        <w:t xml:space="preserve">The only logical exception to this would be a location where a local refiner decides to sell product below </w:t>
      </w:r>
      <w:r w:rsidR="001E785B">
        <w:rPr>
          <w:rFonts w:cs="Arial"/>
        </w:rPr>
        <w:t xml:space="preserve">retail </w:t>
      </w:r>
      <w:r w:rsidRPr="000E3054">
        <w:rPr>
          <w:rFonts w:cs="Arial"/>
        </w:rPr>
        <w:t>market values.</w:t>
      </w:r>
      <w:r>
        <w:rPr>
          <w:rFonts w:cs="Arial"/>
        </w:rPr>
        <w:t xml:space="preserve"> </w:t>
      </w:r>
      <w:r w:rsidRPr="000E3054">
        <w:rPr>
          <w:rFonts w:cs="Arial"/>
        </w:rPr>
        <w:t xml:space="preserve">While this does happen and there are refiners near each location where this could apply, there is no evidence this was practiced and that a refiner </w:t>
      </w:r>
      <w:r w:rsidR="001E785B">
        <w:rPr>
          <w:rFonts w:cs="Arial"/>
        </w:rPr>
        <w:t>would be</w:t>
      </w:r>
      <w:r w:rsidR="001E785B" w:rsidRPr="000E3054">
        <w:rPr>
          <w:rFonts w:cs="Arial"/>
        </w:rPr>
        <w:t xml:space="preserve"> </w:t>
      </w:r>
      <w:r w:rsidRPr="000E3054">
        <w:rPr>
          <w:rFonts w:cs="Arial"/>
        </w:rPr>
        <w:t>willing to suffer the opportunity cost of this strategy</w:t>
      </w:r>
      <w:r w:rsidR="001E785B">
        <w:rPr>
          <w:rFonts w:cs="Arial"/>
        </w:rPr>
        <w:t xml:space="preserve"> relative to higher returns </w:t>
      </w:r>
      <w:r w:rsidR="00114020">
        <w:rPr>
          <w:rFonts w:cs="Arial"/>
        </w:rPr>
        <w:t xml:space="preserve">of </w:t>
      </w:r>
      <w:r w:rsidR="001E785B">
        <w:rPr>
          <w:rFonts w:cs="Arial"/>
        </w:rPr>
        <w:t xml:space="preserve">selling </w:t>
      </w:r>
      <w:r w:rsidR="00114020">
        <w:rPr>
          <w:rFonts w:cs="Arial"/>
        </w:rPr>
        <w:t xml:space="preserve">into </w:t>
      </w:r>
      <w:r w:rsidR="001E785B">
        <w:rPr>
          <w:rFonts w:cs="Arial"/>
        </w:rPr>
        <w:t>wholesale</w:t>
      </w:r>
      <w:r w:rsidR="00114020">
        <w:rPr>
          <w:rFonts w:cs="Arial"/>
        </w:rPr>
        <w:t xml:space="preserve"> market</w:t>
      </w:r>
      <w:r w:rsidRPr="000E3054">
        <w:rPr>
          <w:rFonts w:cs="Arial"/>
        </w:rPr>
        <w:t>.</w:t>
      </w:r>
      <w:r w:rsidR="00D81147">
        <w:rPr>
          <w:rFonts w:cs="Arial"/>
        </w:rPr>
        <w:t xml:space="preserve"> </w:t>
      </w:r>
      <w:r w:rsidRPr="000E3054">
        <w:rPr>
          <w:rFonts w:cs="Arial"/>
        </w:rPr>
        <w:t xml:space="preserve">The cost components for both Rotterdam and Fujairah are based on Blue </w:t>
      </w:r>
      <w:r w:rsidRPr="000E3054">
        <w:rPr>
          <w:rFonts w:cs="Arial"/>
          <w:i/>
          <w:iCs/>
        </w:rPr>
        <w:t>Insight’s</w:t>
      </w:r>
      <w:r w:rsidRPr="000E3054">
        <w:rPr>
          <w:rFonts w:cs="Arial"/>
        </w:rPr>
        <w:t xml:space="preserve"> professional knowledge and understanding of each of these markets, with significant inputs from suppliers, buyers and surveyors active in those locations.  Every effort has been made to represent the average supplier economics in this analysis, although there will be exceptions (both above and below the average). We believe that no supplier will consistently sell below breakeven and if they do so they must be supplementing margin by volumetric gains on barge deliveries and a variety of other means generally against the interests and at the expense of the receiving vessel, its owner, the buyer and the charterer. </w:t>
      </w:r>
    </w:p>
    <w:p w14:paraId="5D3E600B" w14:textId="58496543" w:rsidR="00382E6D" w:rsidRPr="000E3054" w:rsidRDefault="00382E6D" w:rsidP="00382E6D">
      <w:pPr>
        <w:rPr>
          <w:rFonts w:cs="Arial"/>
        </w:rPr>
      </w:pPr>
      <w:r w:rsidRPr="000E3054">
        <w:rPr>
          <w:rFonts w:cs="Arial"/>
        </w:rPr>
        <w:t xml:space="preserve"> </w:t>
      </w:r>
    </w:p>
    <w:p w14:paraId="62DF2987" w14:textId="30E9D519" w:rsidR="005B6E24" w:rsidRDefault="00382E6D" w:rsidP="00382E6D">
      <w:pPr>
        <w:rPr>
          <w:rFonts w:cs="Arial"/>
        </w:rPr>
      </w:pPr>
      <w:r w:rsidRPr="000E3054">
        <w:rPr>
          <w:rFonts w:cs="Arial"/>
        </w:rPr>
        <w:lastRenderedPageBreak/>
        <w:t xml:space="preserve">We have also used published pricing data where this is available and reliable. Lastly, before presenting our findings, we have chosen to analyse each port based on the economics of VLSFO. The research shows that HSFO has similar findings and MGO is generally worse than the outcome illustrated below for both Fujairah and Rotterdam </w:t>
      </w:r>
    </w:p>
    <w:tbl>
      <w:tblPr>
        <w:tblStyle w:val="TableGrid"/>
        <w:tblW w:w="0" w:type="auto"/>
        <w:tblBorders>
          <w:top w:val="none" w:sz="0" w:space="0" w:color="auto"/>
          <w:left w:val="none" w:sz="0" w:space="0" w:color="auto"/>
          <w:bottom w:val="none" w:sz="0" w:space="0" w:color="auto"/>
          <w:right w:val="none" w:sz="0" w:space="0" w:color="auto"/>
          <w:insideH w:val="single" w:sz="4" w:space="0" w:color="0060AA"/>
          <w:insideV w:val="none" w:sz="0" w:space="0" w:color="auto"/>
        </w:tblBorders>
        <w:tblCellMar>
          <w:top w:w="57" w:type="dxa"/>
          <w:left w:w="0" w:type="dxa"/>
          <w:bottom w:w="57" w:type="dxa"/>
          <w:right w:w="0" w:type="dxa"/>
        </w:tblCellMar>
        <w:tblLook w:val="04A0" w:firstRow="1" w:lastRow="0" w:firstColumn="1" w:lastColumn="0" w:noHBand="0" w:noVBand="1"/>
      </w:tblPr>
      <w:tblGrid>
        <w:gridCol w:w="7933"/>
        <w:gridCol w:w="1698"/>
      </w:tblGrid>
      <w:tr w:rsidR="00D25A76" w14:paraId="20CEA994" w14:textId="77777777" w:rsidTr="00301782">
        <w:tc>
          <w:tcPr>
            <w:tcW w:w="9631" w:type="dxa"/>
            <w:gridSpan w:val="2"/>
            <w:shd w:val="clear" w:color="auto" w:fill="0060AA"/>
          </w:tcPr>
          <w:p w14:paraId="5C39646E" w14:textId="3B222D69" w:rsidR="00D25A76" w:rsidRPr="00C216AA" w:rsidRDefault="00D25A76" w:rsidP="00D25A76">
            <w:pPr>
              <w:pStyle w:val="Heading1"/>
              <w:jc w:val="center"/>
              <w:rPr>
                <w:sz w:val="20"/>
                <w:szCs w:val="20"/>
              </w:rPr>
            </w:pPr>
            <w:r w:rsidRPr="00D25A76">
              <w:rPr>
                <w:color w:val="FFFFFF" w:themeColor="background1"/>
                <w:sz w:val="20"/>
                <w:szCs w:val="20"/>
              </w:rPr>
              <w:t>FUJAIRAH</w:t>
            </w:r>
          </w:p>
        </w:tc>
      </w:tr>
      <w:tr w:rsidR="00D25A76" w14:paraId="74F0C3FE" w14:textId="77777777" w:rsidTr="00301782">
        <w:tc>
          <w:tcPr>
            <w:tcW w:w="7933" w:type="dxa"/>
          </w:tcPr>
          <w:p w14:paraId="334C4F89" w14:textId="202D8868" w:rsidR="00D25A76" w:rsidRPr="00D25A76" w:rsidRDefault="00D25A76" w:rsidP="00D25A76">
            <w:pPr>
              <w:pStyle w:val="Heading1"/>
              <w:rPr>
                <w:sz w:val="20"/>
                <w:szCs w:val="20"/>
              </w:rPr>
            </w:pPr>
            <w:r w:rsidRPr="00D25A76">
              <w:rPr>
                <w:sz w:val="20"/>
                <w:szCs w:val="20"/>
              </w:rPr>
              <w:t>Cost Component</w:t>
            </w:r>
          </w:p>
        </w:tc>
        <w:tc>
          <w:tcPr>
            <w:tcW w:w="1698" w:type="dxa"/>
            <w:vAlign w:val="bottom"/>
          </w:tcPr>
          <w:p w14:paraId="1193FA29" w14:textId="5FF014FD" w:rsidR="00D25A76" w:rsidRPr="00D25A76" w:rsidRDefault="00D25A76" w:rsidP="00D25A76">
            <w:pPr>
              <w:pStyle w:val="Heading1"/>
              <w:rPr>
                <w:sz w:val="20"/>
                <w:szCs w:val="20"/>
              </w:rPr>
            </w:pPr>
            <w:r w:rsidRPr="00D25A76">
              <w:rPr>
                <w:sz w:val="20"/>
                <w:szCs w:val="20"/>
              </w:rPr>
              <w:t xml:space="preserve">$/MT </w:t>
            </w:r>
            <w:proofErr w:type="spellStart"/>
            <w:r w:rsidRPr="00D25A76">
              <w:rPr>
                <w:sz w:val="20"/>
                <w:szCs w:val="20"/>
              </w:rPr>
              <w:t>Dlvd</w:t>
            </w:r>
            <w:proofErr w:type="spellEnd"/>
          </w:p>
        </w:tc>
      </w:tr>
      <w:tr w:rsidR="00D25A76" w14:paraId="3B23F48F" w14:textId="77777777" w:rsidTr="00301782">
        <w:tc>
          <w:tcPr>
            <w:tcW w:w="7933" w:type="dxa"/>
          </w:tcPr>
          <w:p w14:paraId="74E40501" w14:textId="14AF88BD" w:rsidR="00D25A76" w:rsidRDefault="00D25A76" w:rsidP="00D25A76">
            <w:pPr>
              <w:rPr>
                <w:rFonts w:cs="Arial"/>
              </w:rPr>
            </w:pPr>
            <w:r w:rsidRPr="00D25A76">
              <w:rPr>
                <w:rFonts w:cs="Arial"/>
              </w:rPr>
              <w:t>Cargo Cost (FOB Purchase Price - MOPS+)</w:t>
            </w:r>
          </w:p>
        </w:tc>
        <w:tc>
          <w:tcPr>
            <w:tcW w:w="1698" w:type="dxa"/>
            <w:vAlign w:val="bottom"/>
          </w:tcPr>
          <w:p w14:paraId="6AA0EFFF" w14:textId="03C557A6" w:rsidR="00D25A76" w:rsidRPr="00C216AA" w:rsidRDefault="00D25A76" w:rsidP="00D25A76">
            <w:pPr>
              <w:rPr>
                <w:rFonts w:cs="Arial"/>
                <w:szCs w:val="20"/>
              </w:rPr>
            </w:pPr>
            <w:r w:rsidRPr="00C216AA">
              <w:rPr>
                <w:rFonts w:cs="Arial"/>
                <w:color w:val="000000"/>
                <w:szCs w:val="20"/>
              </w:rPr>
              <w:t xml:space="preserve">$5.00 </w:t>
            </w:r>
          </w:p>
        </w:tc>
      </w:tr>
      <w:tr w:rsidR="00D25A76" w14:paraId="6EAB5666" w14:textId="77777777" w:rsidTr="00301782">
        <w:tc>
          <w:tcPr>
            <w:tcW w:w="7933" w:type="dxa"/>
          </w:tcPr>
          <w:p w14:paraId="78E92582" w14:textId="77777777" w:rsidR="00D25A76" w:rsidRPr="00D25A76" w:rsidRDefault="00D25A76" w:rsidP="00D25A76">
            <w:pPr>
              <w:rPr>
                <w:rFonts w:cs="Arial"/>
              </w:rPr>
            </w:pPr>
          </w:p>
        </w:tc>
        <w:tc>
          <w:tcPr>
            <w:tcW w:w="1698" w:type="dxa"/>
            <w:vAlign w:val="bottom"/>
          </w:tcPr>
          <w:p w14:paraId="2350D295" w14:textId="77777777" w:rsidR="00D25A76" w:rsidRPr="00C216AA" w:rsidRDefault="00D25A76" w:rsidP="00D25A76">
            <w:pPr>
              <w:rPr>
                <w:rFonts w:cs="Arial"/>
                <w:szCs w:val="20"/>
              </w:rPr>
            </w:pPr>
          </w:p>
        </w:tc>
      </w:tr>
      <w:tr w:rsidR="00D25A76" w14:paraId="46D77038" w14:textId="77777777" w:rsidTr="00301782">
        <w:tc>
          <w:tcPr>
            <w:tcW w:w="7933" w:type="dxa"/>
          </w:tcPr>
          <w:p w14:paraId="2B9B5774" w14:textId="55542476" w:rsidR="00D25A76" w:rsidRDefault="00D25A76" w:rsidP="00D25A76">
            <w:pPr>
              <w:rPr>
                <w:rFonts w:cs="Arial"/>
              </w:rPr>
            </w:pPr>
            <w:r w:rsidRPr="00C216AA">
              <w:rPr>
                <w:rFonts w:cs="Arial"/>
              </w:rPr>
              <w:t>Terminal Loading Loss</w:t>
            </w:r>
          </w:p>
        </w:tc>
        <w:tc>
          <w:tcPr>
            <w:tcW w:w="1698" w:type="dxa"/>
            <w:vAlign w:val="bottom"/>
          </w:tcPr>
          <w:p w14:paraId="0176D509" w14:textId="44C032E7" w:rsidR="00D25A76" w:rsidRPr="00C216AA" w:rsidRDefault="00D25A76" w:rsidP="00D25A76">
            <w:pPr>
              <w:rPr>
                <w:rFonts w:cs="Arial"/>
                <w:szCs w:val="20"/>
              </w:rPr>
            </w:pPr>
            <w:r w:rsidRPr="00C216AA">
              <w:rPr>
                <w:rFonts w:cs="Arial"/>
                <w:color w:val="000000"/>
                <w:szCs w:val="20"/>
              </w:rPr>
              <w:t xml:space="preserve">$2.00 </w:t>
            </w:r>
          </w:p>
        </w:tc>
      </w:tr>
      <w:tr w:rsidR="00D25A76" w14:paraId="5D1ABB3C" w14:textId="77777777" w:rsidTr="00301782">
        <w:tc>
          <w:tcPr>
            <w:tcW w:w="7933" w:type="dxa"/>
          </w:tcPr>
          <w:p w14:paraId="51F8E5CB" w14:textId="40B76EB0" w:rsidR="00D25A76" w:rsidRDefault="00D25A76" w:rsidP="00D25A76">
            <w:pPr>
              <w:rPr>
                <w:rFonts w:cs="Arial"/>
              </w:rPr>
            </w:pPr>
            <w:r w:rsidRPr="00C216AA">
              <w:rPr>
                <w:rFonts w:cs="Arial"/>
              </w:rPr>
              <w:t>Barge T/C (5 Rotations per Month)+Fuel</w:t>
            </w:r>
          </w:p>
        </w:tc>
        <w:tc>
          <w:tcPr>
            <w:tcW w:w="1698" w:type="dxa"/>
            <w:vAlign w:val="bottom"/>
          </w:tcPr>
          <w:p w14:paraId="54946CB2" w14:textId="1C6D9938" w:rsidR="00D25A76" w:rsidRPr="00C216AA" w:rsidRDefault="00D25A76" w:rsidP="00D25A76">
            <w:pPr>
              <w:rPr>
                <w:rFonts w:cs="Arial"/>
                <w:szCs w:val="20"/>
              </w:rPr>
            </w:pPr>
            <w:r w:rsidRPr="00C216AA">
              <w:rPr>
                <w:rFonts w:cs="Arial"/>
                <w:color w:val="000000"/>
                <w:szCs w:val="20"/>
              </w:rPr>
              <w:t xml:space="preserve">$8.50 </w:t>
            </w:r>
          </w:p>
        </w:tc>
      </w:tr>
      <w:tr w:rsidR="00D25A76" w14:paraId="2C106C74" w14:textId="77777777" w:rsidTr="00301782">
        <w:tc>
          <w:tcPr>
            <w:tcW w:w="7933" w:type="dxa"/>
          </w:tcPr>
          <w:p w14:paraId="658DCD14" w14:textId="5EE28B60" w:rsidR="00D25A76" w:rsidRDefault="00D25A76" w:rsidP="00D25A76">
            <w:pPr>
              <w:rPr>
                <w:rFonts w:cs="Arial"/>
              </w:rPr>
            </w:pPr>
            <w:r w:rsidRPr="00C216AA">
              <w:rPr>
                <w:rFonts w:cs="Arial"/>
              </w:rPr>
              <w:t>WC Financing (45 days)+Credit Cost</w:t>
            </w:r>
          </w:p>
        </w:tc>
        <w:tc>
          <w:tcPr>
            <w:tcW w:w="1698" w:type="dxa"/>
            <w:vAlign w:val="bottom"/>
          </w:tcPr>
          <w:p w14:paraId="0C0161C5" w14:textId="339BAFE5" w:rsidR="00D25A76" w:rsidRPr="00C216AA" w:rsidRDefault="00D25A76" w:rsidP="00D25A76">
            <w:pPr>
              <w:rPr>
                <w:rFonts w:cs="Arial"/>
                <w:szCs w:val="20"/>
              </w:rPr>
            </w:pPr>
            <w:r w:rsidRPr="00C216AA">
              <w:rPr>
                <w:rFonts w:cs="Arial"/>
                <w:color w:val="000000"/>
                <w:szCs w:val="20"/>
              </w:rPr>
              <w:t xml:space="preserve">$3.30 </w:t>
            </w:r>
          </w:p>
        </w:tc>
      </w:tr>
      <w:tr w:rsidR="00D25A76" w14:paraId="37A107DD" w14:textId="77777777" w:rsidTr="00301782">
        <w:tc>
          <w:tcPr>
            <w:tcW w:w="7933" w:type="dxa"/>
          </w:tcPr>
          <w:p w14:paraId="0D1D663A" w14:textId="562BF6C3" w:rsidR="00D25A76" w:rsidRDefault="00D25A76" w:rsidP="00D25A76">
            <w:pPr>
              <w:rPr>
                <w:rFonts w:cs="Arial"/>
              </w:rPr>
            </w:pPr>
            <w:r w:rsidRPr="00C216AA">
              <w:rPr>
                <w:rFonts w:cs="Arial"/>
              </w:rPr>
              <w:t>Operating Overhead</w:t>
            </w:r>
          </w:p>
        </w:tc>
        <w:tc>
          <w:tcPr>
            <w:tcW w:w="1698" w:type="dxa"/>
            <w:vAlign w:val="bottom"/>
          </w:tcPr>
          <w:p w14:paraId="3BE76882" w14:textId="76B7A0A8" w:rsidR="00D25A76" w:rsidRPr="00C216AA" w:rsidRDefault="00D25A76" w:rsidP="00D25A76">
            <w:pPr>
              <w:rPr>
                <w:rFonts w:cs="Arial"/>
                <w:szCs w:val="20"/>
              </w:rPr>
            </w:pPr>
            <w:r w:rsidRPr="00C216AA">
              <w:rPr>
                <w:rFonts w:cs="Arial"/>
                <w:color w:val="000000"/>
                <w:szCs w:val="20"/>
              </w:rPr>
              <w:t xml:space="preserve">$1.45 </w:t>
            </w:r>
          </w:p>
        </w:tc>
      </w:tr>
      <w:tr w:rsidR="00D25A76" w14:paraId="66AE6B8C" w14:textId="77777777" w:rsidTr="00301782">
        <w:tc>
          <w:tcPr>
            <w:tcW w:w="7933" w:type="dxa"/>
          </w:tcPr>
          <w:p w14:paraId="37B76B73" w14:textId="1753CF66" w:rsidR="00D25A76" w:rsidRDefault="00D25A76" w:rsidP="00D25A76">
            <w:pPr>
              <w:rPr>
                <w:rFonts w:cs="Arial"/>
              </w:rPr>
            </w:pPr>
            <w:r w:rsidRPr="00C216AA">
              <w:rPr>
                <w:rFonts w:cs="Arial"/>
              </w:rPr>
              <w:t>Inspection/Port Cost/License</w:t>
            </w:r>
          </w:p>
        </w:tc>
        <w:tc>
          <w:tcPr>
            <w:tcW w:w="1698" w:type="dxa"/>
            <w:vAlign w:val="bottom"/>
          </w:tcPr>
          <w:p w14:paraId="12A1DD2B" w14:textId="7D9B3D45" w:rsidR="00D25A76" w:rsidRPr="00C216AA" w:rsidRDefault="00D25A76" w:rsidP="00D25A76">
            <w:pPr>
              <w:rPr>
                <w:rFonts w:cs="Arial"/>
                <w:szCs w:val="20"/>
              </w:rPr>
            </w:pPr>
            <w:r w:rsidRPr="00C216AA">
              <w:rPr>
                <w:rFonts w:cs="Arial"/>
                <w:color w:val="000000"/>
                <w:szCs w:val="20"/>
              </w:rPr>
              <w:t xml:space="preserve">$1.20 </w:t>
            </w:r>
          </w:p>
        </w:tc>
      </w:tr>
      <w:tr w:rsidR="00D25A76" w14:paraId="18114332" w14:textId="77777777" w:rsidTr="00301782">
        <w:tc>
          <w:tcPr>
            <w:tcW w:w="7933" w:type="dxa"/>
          </w:tcPr>
          <w:p w14:paraId="4C60CB27" w14:textId="77777777" w:rsidR="00D25A76" w:rsidRDefault="00D25A76" w:rsidP="00D25A76">
            <w:pPr>
              <w:rPr>
                <w:rFonts w:cs="Arial"/>
              </w:rPr>
            </w:pPr>
          </w:p>
        </w:tc>
        <w:tc>
          <w:tcPr>
            <w:tcW w:w="1698" w:type="dxa"/>
            <w:vAlign w:val="bottom"/>
          </w:tcPr>
          <w:p w14:paraId="385E6339" w14:textId="74D678C1" w:rsidR="00D25A76" w:rsidRPr="00C216AA" w:rsidRDefault="00D25A76" w:rsidP="00D25A76">
            <w:pPr>
              <w:rPr>
                <w:rFonts w:cs="Arial"/>
                <w:szCs w:val="20"/>
              </w:rPr>
            </w:pPr>
          </w:p>
        </w:tc>
      </w:tr>
      <w:tr w:rsidR="00D25A76" w14:paraId="328B9370" w14:textId="77777777" w:rsidTr="00301782">
        <w:tc>
          <w:tcPr>
            <w:tcW w:w="7933" w:type="dxa"/>
          </w:tcPr>
          <w:p w14:paraId="694BA58F" w14:textId="6CCBF404" w:rsidR="00D25A76" w:rsidRDefault="00D25A76" w:rsidP="00D25A76">
            <w:pPr>
              <w:rPr>
                <w:rFonts w:cs="Arial"/>
              </w:rPr>
            </w:pPr>
            <w:r w:rsidRPr="00C216AA">
              <w:rPr>
                <w:rFonts w:cs="Arial"/>
              </w:rPr>
              <w:t>Operating Break Even (FOB Purchase Price - MOPS+)</w:t>
            </w:r>
          </w:p>
        </w:tc>
        <w:tc>
          <w:tcPr>
            <w:tcW w:w="1698" w:type="dxa"/>
            <w:vAlign w:val="bottom"/>
          </w:tcPr>
          <w:p w14:paraId="161B5B55" w14:textId="478A842A" w:rsidR="00D25A76" w:rsidRPr="00C216AA" w:rsidRDefault="00D25A76" w:rsidP="00D25A76">
            <w:pPr>
              <w:rPr>
                <w:rFonts w:cs="Arial"/>
                <w:szCs w:val="20"/>
              </w:rPr>
            </w:pPr>
            <w:r w:rsidRPr="00C216AA">
              <w:rPr>
                <w:rFonts w:cs="Arial"/>
                <w:color w:val="000000"/>
                <w:szCs w:val="20"/>
              </w:rPr>
              <w:t xml:space="preserve">$21.45 </w:t>
            </w:r>
          </w:p>
        </w:tc>
      </w:tr>
      <w:tr w:rsidR="00D25A76" w14:paraId="7E4AC6B7" w14:textId="77777777" w:rsidTr="00301782">
        <w:tc>
          <w:tcPr>
            <w:tcW w:w="7933" w:type="dxa"/>
          </w:tcPr>
          <w:p w14:paraId="2FA3F513" w14:textId="77777777" w:rsidR="00D25A76" w:rsidRDefault="00D25A76" w:rsidP="00D25A76">
            <w:pPr>
              <w:rPr>
                <w:rFonts w:cs="Arial"/>
              </w:rPr>
            </w:pPr>
          </w:p>
        </w:tc>
        <w:tc>
          <w:tcPr>
            <w:tcW w:w="1698" w:type="dxa"/>
            <w:vAlign w:val="bottom"/>
          </w:tcPr>
          <w:p w14:paraId="3FFD9505" w14:textId="39391974" w:rsidR="00D25A76" w:rsidRPr="00C216AA" w:rsidRDefault="00D25A76" w:rsidP="00D25A76">
            <w:pPr>
              <w:rPr>
                <w:rFonts w:cs="Arial"/>
                <w:szCs w:val="20"/>
              </w:rPr>
            </w:pPr>
          </w:p>
        </w:tc>
      </w:tr>
      <w:tr w:rsidR="00D25A76" w14:paraId="7AEF7165" w14:textId="77777777" w:rsidTr="00301782">
        <w:tc>
          <w:tcPr>
            <w:tcW w:w="7933" w:type="dxa"/>
          </w:tcPr>
          <w:p w14:paraId="15B65BE2" w14:textId="72195B63" w:rsidR="00D25A76" w:rsidRDefault="00D25A76" w:rsidP="00D25A76">
            <w:pPr>
              <w:rPr>
                <w:rFonts w:cs="Arial"/>
              </w:rPr>
            </w:pPr>
            <w:r w:rsidRPr="00C216AA">
              <w:rPr>
                <w:rFonts w:cs="Arial"/>
              </w:rPr>
              <w:t>Bunkerwire VLSFO Premium Over MOPS (2021 Prices)</w:t>
            </w:r>
          </w:p>
        </w:tc>
        <w:tc>
          <w:tcPr>
            <w:tcW w:w="1698" w:type="dxa"/>
            <w:vAlign w:val="bottom"/>
          </w:tcPr>
          <w:p w14:paraId="0FEFBB41" w14:textId="27FD2217" w:rsidR="00D25A76" w:rsidRPr="00C216AA" w:rsidRDefault="00D25A76" w:rsidP="00D25A76">
            <w:pPr>
              <w:rPr>
                <w:rFonts w:cs="Arial"/>
                <w:szCs w:val="20"/>
              </w:rPr>
            </w:pPr>
            <w:r w:rsidRPr="00C216AA">
              <w:rPr>
                <w:rFonts w:cs="Arial"/>
                <w:color w:val="000000"/>
                <w:szCs w:val="20"/>
              </w:rPr>
              <w:t xml:space="preserve">$8.30 </w:t>
            </w:r>
          </w:p>
        </w:tc>
      </w:tr>
      <w:tr w:rsidR="00D25A76" w14:paraId="00C052C3" w14:textId="77777777" w:rsidTr="00301782">
        <w:tc>
          <w:tcPr>
            <w:tcW w:w="7933" w:type="dxa"/>
          </w:tcPr>
          <w:p w14:paraId="4EDE2627" w14:textId="77777777" w:rsidR="00D25A76" w:rsidRDefault="00D25A76" w:rsidP="00D25A76">
            <w:pPr>
              <w:rPr>
                <w:rFonts w:cs="Arial"/>
              </w:rPr>
            </w:pPr>
          </w:p>
        </w:tc>
        <w:tc>
          <w:tcPr>
            <w:tcW w:w="1698" w:type="dxa"/>
            <w:vAlign w:val="bottom"/>
          </w:tcPr>
          <w:p w14:paraId="3B6A86C0" w14:textId="2B6DBF0F" w:rsidR="00D25A76" w:rsidRPr="00C216AA" w:rsidRDefault="00D25A76" w:rsidP="00D25A76">
            <w:pPr>
              <w:rPr>
                <w:rFonts w:cs="Arial"/>
                <w:szCs w:val="20"/>
              </w:rPr>
            </w:pPr>
          </w:p>
        </w:tc>
      </w:tr>
      <w:tr w:rsidR="00D25A76" w14:paraId="01936115" w14:textId="77777777" w:rsidTr="00301782">
        <w:tc>
          <w:tcPr>
            <w:tcW w:w="7933" w:type="dxa"/>
          </w:tcPr>
          <w:p w14:paraId="6D33C29A" w14:textId="0EAEDE02" w:rsidR="00D25A76" w:rsidRPr="00D25A76" w:rsidRDefault="00D25A76" w:rsidP="00D25A76">
            <w:pPr>
              <w:rPr>
                <w:rFonts w:cs="Arial"/>
                <w:b/>
                <w:bCs/>
              </w:rPr>
            </w:pPr>
            <w:r w:rsidRPr="00D25A76">
              <w:rPr>
                <w:rFonts w:cs="Arial"/>
                <w:b/>
                <w:bCs/>
              </w:rPr>
              <w:t>Supplier Operating Loss per MT</w:t>
            </w:r>
          </w:p>
        </w:tc>
        <w:tc>
          <w:tcPr>
            <w:tcW w:w="1698" w:type="dxa"/>
            <w:vAlign w:val="bottom"/>
          </w:tcPr>
          <w:p w14:paraId="75BD7DE3" w14:textId="3511963C" w:rsidR="00D25A76" w:rsidRPr="00D25A76" w:rsidRDefault="00D25A76" w:rsidP="00D25A76">
            <w:pPr>
              <w:rPr>
                <w:rFonts w:cs="Arial"/>
                <w:b/>
                <w:bCs/>
                <w:szCs w:val="20"/>
              </w:rPr>
            </w:pPr>
            <w:r w:rsidRPr="00110EA1">
              <w:rPr>
                <w:rFonts w:cs="Arial"/>
                <w:b/>
                <w:bCs/>
                <w:color w:val="000000" w:themeColor="text1"/>
                <w:szCs w:val="20"/>
              </w:rPr>
              <w:t>$(13.15)</w:t>
            </w:r>
          </w:p>
        </w:tc>
      </w:tr>
      <w:tr w:rsidR="00D25A76" w14:paraId="37DECB45" w14:textId="77777777" w:rsidTr="00301782">
        <w:tc>
          <w:tcPr>
            <w:tcW w:w="7933" w:type="dxa"/>
          </w:tcPr>
          <w:p w14:paraId="0E002099" w14:textId="77777777" w:rsidR="00D25A76" w:rsidRDefault="00D25A76" w:rsidP="00D25A76">
            <w:pPr>
              <w:rPr>
                <w:rFonts w:cs="Arial"/>
              </w:rPr>
            </w:pPr>
          </w:p>
        </w:tc>
        <w:tc>
          <w:tcPr>
            <w:tcW w:w="1698" w:type="dxa"/>
            <w:vAlign w:val="bottom"/>
          </w:tcPr>
          <w:p w14:paraId="35EF4960" w14:textId="4BF3E603" w:rsidR="00D25A76" w:rsidRPr="00C216AA" w:rsidRDefault="00D25A76" w:rsidP="00D25A76">
            <w:pPr>
              <w:rPr>
                <w:rFonts w:cs="Arial"/>
                <w:szCs w:val="20"/>
              </w:rPr>
            </w:pPr>
          </w:p>
        </w:tc>
      </w:tr>
      <w:tr w:rsidR="00D25A76" w14:paraId="4E58230C" w14:textId="77777777" w:rsidTr="00301782">
        <w:tc>
          <w:tcPr>
            <w:tcW w:w="7933" w:type="dxa"/>
          </w:tcPr>
          <w:p w14:paraId="7928DAB3" w14:textId="2739E461" w:rsidR="00D25A76" w:rsidRPr="00D25A76" w:rsidRDefault="00D25A76" w:rsidP="00D25A76">
            <w:pPr>
              <w:rPr>
                <w:rFonts w:cs="Arial"/>
                <w:b/>
                <w:bCs/>
              </w:rPr>
            </w:pPr>
            <w:r w:rsidRPr="00D25A76">
              <w:rPr>
                <w:rFonts w:cs="Arial"/>
                <w:b/>
                <w:bCs/>
              </w:rPr>
              <w:t>Total FJ $ Impact (Total FJ 2021 - 7,659,639 MTs)</w:t>
            </w:r>
          </w:p>
        </w:tc>
        <w:tc>
          <w:tcPr>
            <w:tcW w:w="1698" w:type="dxa"/>
            <w:vAlign w:val="bottom"/>
          </w:tcPr>
          <w:p w14:paraId="2F5AED8E" w14:textId="7EBD5961" w:rsidR="00D25A76" w:rsidRPr="00110EA1" w:rsidRDefault="00D25A76" w:rsidP="00D25A76">
            <w:pPr>
              <w:rPr>
                <w:rFonts w:cs="Arial"/>
                <w:b/>
                <w:bCs/>
                <w:szCs w:val="20"/>
              </w:rPr>
            </w:pPr>
            <w:r w:rsidRPr="00110EA1">
              <w:rPr>
                <w:rFonts w:cs="Arial"/>
                <w:b/>
                <w:bCs/>
                <w:color w:val="000000" w:themeColor="text1"/>
                <w:szCs w:val="20"/>
              </w:rPr>
              <w:t>$(100,724,253)</w:t>
            </w:r>
          </w:p>
        </w:tc>
      </w:tr>
      <w:tr w:rsidR="00110EA1" w14:paraId="4DA15CE3" w14:textId="77777777" w:rsidTr="00301782">
        <w:tc>
          <w:tcPr>
            <w:tcW w:w="7933" w:type="dxa"/>
          </w:tcPr>
          <w:p w14:paraId="5FA5DE38" w14:textId="77777777" w:rsidR="00110EA1" w:rsidRPr="00D25A76" w:rsidRDefault="00110EA1" w:rsidP="00D25A76">
            <w:pPr>
              <w:rPr>
                <w:rFonts w:cs="Arial"/>
                <w:b/>
                <w:bCs/>
              </w:rPr>
            </w:pPr>
          </w:p>
        </w:tc>
        <w:tc>
          <w:tcPr>
            <w:tcW w:w="1698" w:type="dxa"/>
            <w:vAlign w:val="bottom"/>
          </w:tcPr>
          <w:p w14:paraId="794B023A" w14:textId="77777777" w:rsidR="00110EA1" w:rsidRPr="00110EA1" w:rsidRDefault="00110EA1" w:rsidP="00D25A76">
            <w:pPr>
              <w:rPr>
                <w:rFonts w:cs="Arial"/>
                <w:b/>
                <w:bCs/>
                <w:color w:val="000000" w:themeColor="text1"/>
                <w:szCs w:val="20"/>
              </w:rPr>
            </w:pPr>
          </w:p>
        </w:tc>
      </w:tr>
    </w:tbl>
    <w:p w14:paraId="5B8423CB" w14:textId="775E136F" w:rsidR="005B6E24" w:rsidRDefault="005B6E24" w:rsidP="00382E6D">
      <w:pPr>
        <w:rPr>
          <w:rFonts w:cs="Arial"/>
        </w:rPr>
      </w:pPr>
    </w:p>
    <w:p w14:paraId="77F0FFE1" w14:textId="77777777" w:rsidR="00D81147" w:rsidRPr="00D25A76" w:rsidRDefault="00D81147" w:rsidP="00D25A76">
      <w:pPr>
        <w:pStyle w:val="Heading1"/>
      </w:pPr>
    </w:p>
    <w:p w14:paraId="667D0FA8" w14:textId="6BA4CF0A" w:rsidR="00382E6D" w:rsidRPr="00504924" w:rsidRDefault="00382E6D" w:rsidP="00D25A76">
      <w:pPr>
        <w:pStyle w:val="Heading1"/>
        <w:rPr>
          <w:sz w:val="20"/>
          <w:szCs w:val="20"/>
        </w:rPr>
      </w:pPr>
      <w:r w:rsidRPr="00504924">
        <w:rPr>
          <w:sz w:val="20"/>
          <w:szCs w:val="20"/>
        </w:rPr>
        <w:t xml:space="preserve">Table </w:t>
      </w:r>
      <w:r w:rsidRPr="00504924">
        <w:rPr>
          <w:sz w:val="20"/>
          <w:szCs w:val="20"/>
        </w:rPr>
        <w:fldChar w:fldCharType="begin"/>
      </w:r>
      <w:r w:rsidRPr="00504924">
        <w:rPr>
          <w:sz w:val="20"/>
          <w:szCs w:val="20"/>
        </w:rPr>
        <w:instrText xml:space="preserve"> SEQ Table \* ARABIC </w:instrText>
      </w:r>
      <w:r w:rsidRPr="00504924">
        <w:rPr>
          <w:sz w:val="20"/>
          <w:szCs w:val="20"/>
        </w:rPr>
        <w:fldChar w:fldCharType="separate"/>
      </w:r>
      <w:r w:rsidRPr="00504924">
        <w:rPr>
          <w:sz w:val="20"/>
          <w:szCs w:val="20"/>
        </w:rPr>
        <w:t>1</w:t>
      </w:r>
      <w:r w:rsidRPr="00504924">
        <w:rPr>
          <w:sz w:val="20"/>
          <w:szCs w:val="20"/>
        </w:rPr>
        <w:fldChar w:fldCharType="end"/>
      </w:r>
      <w:r w:rsidRPr="00504924">
        <w:rPr>
          <w:sz w:val="20"/>
          <w:szCs w:val="20"/>
        </w:rPr>
        <w:t>: Fujairah - True Bunkering Economics</w:t>
      </w:r>
    </w:p>
    <w:p w14:paraId="2CA7A905" w14:textId="77777777" w:rsidR="00D25A76" w:rsidRPr="00D25A76" w:rsidRDefault="00D25A76" w:rsidP="00D25A76"/>
    <w:p w14:paraId="66CE7B84" w14:textId="0BFCD96B" w:rsidR="00382E6D" w:rsidRDefault="00382E6D" w:rsidP="00382E6D">
      <w:pPr>
        <w:rPr>
          <w:rFonts w:cs="Arial"/>
        </w:rPr>
      </w:pPr>
      <w:r w:rsidRPr="000E3054">
        <w:rPr>
          <w:rFonts w:cs="Arial"/>
        </w:rPr>
        <w:t xml:space="preserve">Table 1 illustrates that in Fujairah the average supplier is or should be operating $13.15/mt below a true breakeven.  When this is calculated over the entirety of 2021, Fujairah volume indicates a total loss of approximately $100 million for buyers, charterers and owners.  Suppliers cannot operate this way and the assumption is that the negative margin is supplemented.  </w:t>
      </w:r>
    </w:p>
    <w:p w14:paraId="246CAB59" w14:textId="15A0F880" w:rsidR="00382E6D" w:rsidRPr="000E3054" w:rsidRDefault="00301782" w:rsidP="00382E6D">
      <w:pPr>
        <w:rPr>
          <w:rFonts w:cs="Arial"/>
        </w:rPr>
      </w:pPr>
      <w:r>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0060AA"/>
          <w:insideV w:val="none" w:sz="0" w:space="0" w:color="auto"/>
        </w:tblBorders>
        <w:tblCellMar>
          <w:top w:w="57" w:type="dxa"/>
          <w:left w:w="0" w:type="dxa"/>
          <w:bottom w:w="57" w:type="dxa"/>
          <w:right w:w="0" w:type="dxa"/>
        </w:tblCellMar>
        <w:tblLook w:val="04A0" w:firstRow="1" w:lastRow="0" w:firstColumn="1" w:lastColumn="0" w:noHBand="0" w:noVBand="1"/>
      </w:tblPr>
      <w:tblGrid>
        <w:gridCol w:w="7933"/>
        <w:gridCol w:w="1698"/>
      </w:tblGrid>
      <w:tr w:rsidR="00301782" w14:paraId="49E1E27E" w14:textId="77777777" w:rsidTr="000E3054">
        <w:tc>
          <w:tcPr>
            <w:tcW w:w="9631" w:type="dxa"/>
            <w:gridSpan w:val="2"/>
            <w:shd w:val="clear" w:color="auto" w:fill="0060AA"/>
          </w:tcPr>
          <w:p w14:paraId="1E76AD45" w14:textId="19D004BE" w:rsidR="00301782" w:rsidRPr="00C216AA" w:rsidRDefault="00110EA1" w:rsidP="000E3054">
            <w:pPr>
              <w:pStyle w:val="Heading1"/>
              <w:jc w:val="center"/>
              <w:rPr>
                <w:sz w:val="20"/>
                <w:szCs w:val="20"/>
              </w:rPr>
            </w:pPr>
            <w:r>
              <w:rPr>
                <w:color w:val="FFFFFF" w:themeColor="background1"/>
                <w:sz w:val="20"/>
                <w:szCs w:val="20"/>
              </w:rPr>
              <w:lastRenderedPageBreak/>
              <w:t>ROTTERDAM</w:t>
            </w:r>
          </w:p>
        </w:tc>
      </w:tr>
      <w:tr w:rsidR="00301782" w14:paraId="22BFE28E" w14:textId="77777777" w:rsidTr="000E3054">
        <w:tc>
          <w:tcPr>
            <w:tcW w:w="7933" w:type="dxa"/>
          </w:tcPr>
          <w:p w14:paraId="79BADEFA" w14:textId="77777777" w:rsidR="00301782" w:rsidRPr="00D25A76" w:rsidRDefault="00301782" w:rsidP="000E3054">
            <w:pPr>
              <w:pStyle w:val="Heading1"/>
              <w:rPr>
                <w:sz w:val="20"/>
                <w:szCs w:val="20"/>
              </w:rPr>
            </w:pPr>
            <w:r w:rsidRPr="00D25A76">
              <w:rPr>
                <w:sz w:val="20"/>
                <w:szCs w:val="20"/>
              </w:rPr>
              <w:t>Cost Component</w:t>
            </w:r>
          </w:p>
        </w:tc>
        <w:tc>
          <w:tcPr>
            <w:tcW w:w="1698" w:type="dxa"/>
            <w:vAlign w:val="bottom"/>
          </w:tcPr>
          <w:p w14:paraId="1109098B" w14:textId="77777777" w:rsidR="00301782" w:rsidRPr="00D25A76" w:rsidRDefault="00301782" w:rsidP="000E3054">
            <w:pPr>
              <w:pStyle w:val="Heading1"/>
              <w:rPr>
                <w:sz w:val="20"/>
                <w:szCs w:val="20"/>
              </w:rPr>
            </w:pPr>
            <w:r w:rsidRPr="00D25A76">
              <w:rPr>
                <w:sz w:val="20"/>
                <w:szCs w:val="20"/>
              </w:rPr>
              <w:t xml:space="preserve">$/MT </w:t>
            </w:r>
            <w:proofErr w:type="spellStart"/>
            <w:r w:rsidRPr="00D25A76">
              <w:rPr>
                <w:sz w:val="20"/>
                <w:szCs w:val="20"/>
              </w:rPr>
              <w:t>Dlvd</w:t>
            </w:r>
            <w:proofErr w:type="spellEnd"/>
          </w:p>
        </w:tc>
      </w:tr>
      <w:tr w:rsidR="00301782" w14:paraId="2F23FEDD" w14:textId="77777777" w:rsidTr="000E3054">
        <w:tc>
          <w:tcPr>
            <w:tcW w:w="7933" w:type="dxa"/>
          </w:tcPr>
          <w:p w14:paraId="366318E2" w14:textId="77777777" w:rsidR="00301782" w:rsidRDefault="00301782" w:rsidP="00301782">
            <w:pPr>
              <w:rPr>
                <w:rFonts w:cs="Arial"/>
              </w:rPr>
            </w:pPr>
            <w:r w:rsidRPr="00D25A76">
              <w:rPr>
                <w:rFonts w:cs="Arial"/>
              </w:rPr>
              <w:t>Cargo Cost (FOB Purchase Price - MOPS+)</w:t>
            </w:r>
          </w:p>
        </w:tc>
        <w:tc>
          <w:tcPr>
            <w:tcW w:w="1698" w:type="dxa"/>
            <w:vAlign w:val="bottom"/>
          </w:tcPr>
          <w:p w14:paraId="12BE71E4" w14:textId="5C52A0F3" w:rsidR="00301782" w:rsidRPr="00301782" w:rsidRDefault="00301782" w:rsidP="00301782">
            <w:pPr>
              <w:rPr>
                <w:rFonts w:cs="Arial"/>
                <w:szCs w:val="20"/>
              </w:rPr>
            </w:pPr>
            <w:r w:rsidRPr="00301782">
              <w:rPr>
                <w:rFonts w:cs="Arial"/>
                <w:color w:val="000000"/>
                <w:szCs w:val="20"/>
              </w:rPr>
              <w:t xml:space="preserve">$4.00 </w:t>
            </w:r>
          </w:p>
        </w:tc>
      </w:tr>
      <w:tr w:rsidR="00301782" w14:paraId="47CD890C" w14:textId="77777777" w:rsidTr="000E3054">
        <w:tc>
          <w:tcPr>
            <w:tcW w:w="7933" w:type="dxa"/>
          </w:tcPr>
          <w:p w14:paraId="12F51F42" w14:textId="77777777" w:rsidR="00301782" w:rsidRPr="00D25A76" w:rsidRDefault="00301782" w:rsidP="00301782">
            <w:pPr>
              <w:rPr>
                <w:rFonts w:cs="Arial"/>
              </w:rPr>
            </w:pPr>
          </w:p>
        </w:tc>
        <w:tc>
          <w:tcPr>
            <w:tcW w:w="1698" w:type="dxa"/>
            <w:vAlign w:val="bottom"/>
          </w:tcPr>
          <w:p w14:paraId="60BCD894" w14:textId="77777777" w:rsidR="00301782" w:rsidRPr="00301782" w:rsidRDefault="00301782" w:rsidP="00301782">
            <w:pPr>
              <w:rPr>
                <w:rFonts w:cs="Arial"/>
                <w:szCs w:val="20"/>
              </w:rPr>
            </w:pPr>
          </w:p>
        </w:tc>
      </w:tr>
      <w:tr w:rsidR="00301782" w14:paraId="59324B2D" w14:textId="77777777" w:rsidTr="000E3054">
        <w:tc>
          <w:tcPr>
            <w:tcW w:w="7933" w:type="dxa"/>
          </w:tcPr>
          <w:p w14:paraId="330F5EB0" w14:textId="77777777" w:rsidR="00301782" w:rsidRDefault="00301782" w:rsidP="00301782">
            <w:pPr>
              <w:rPr>
                <w:rFonts w:cs="Arial"/>
              </w:rPr>
            </w:pPr>
            <w:r w:rsidRPr="00C216AA">
              <w:rPr>
                <w:rFonts w:cs="Arial"/>
              </w:rPr>
              <w:t>Terminal Loading Loss</w:t>
            </w:r>
          </w:p>
        </w:tc>
        <w:tc>
          <w:tcPr>
            <w:tcW w:w="1698" w:type="dxa"/>
            <w:vAlign w:val="bottom"/>
          </w:tcPr>
          <w:p w14:paraId="6FB04ACB" w14:textId="68F55F65" w:rsidR="00301782" w:rsidRPr="00301782" w:rsidRDefault="00301782" w:rsidP="00301782">
            <w:pPr>
              <w:rPr>
                <w:rFonts w:cs="Arial"/>
                <w:szCs w:val="20"/>
              </w:rPr>
            </w:pPr>
            <w:r w:rsidRPr="00301782">
              <w:rPr>
                <w:rFonts w:cs="Arial"/>
                <w:color w:val="000000"/>
                <w:szCs w:val="20"/>
              </w:rPr>
              <w:t xml:space="preserve">$1.50 </w:t>
            </w:r>
          </w:p>
        </w:tc>
      </w:tr>
      <w:tr w:rsidR="00301782" w14:paraId="66DCD5C6" w14:textId="77777777" w:rsidTr="000E3054">
        <w:tc>
          <w:tcPr>
            <w:tcW w:w="7933" w:type="dxa"/>
          </w:tcPr>
          <w:p w14:paraId="797AD9E2" w14:textId="5FEF42D8" w:rsidR="00301782" w:rsidRDefault="00301782" w:rsidP="00301782">
            <w:pPr>
              <w:rPr>
                <w:rFonts w:cs="Arial"/>
              </w:rPr>
            </w:pPr>
            <w:r w:rsidRPr="00C216AA">
              <w:rPr>
                <w:rFonts w:cs="Arial"/>
              </w:rPr>
              <w:t>Barge T/C (</w:t>
            </w:r>
            <w:r w:rsidR="00110EA1">
              <w:rPr>
                <w:rFonts w:cs="Arial"/>
              </w:rPr>
              <w:t>4.75</w:t>
            </w:r>
            <w:r w:rsidRPr="00C216AA">
              <w:rPr>
                <w:rFonts w:cs="Arial"/>
              </w:rPr>
              <w:t xml:space="preserve"> Rotations per Month)+Fuel</w:t>
            </w:r>
          </w:p>
        </w:tc>
        <w:tc>
          <w:tcPr>
            <w:tcW w:w="1698" w:type="dxa"/>
            <w:vAlign w:val="bottom"/>
          </w:tcPr>
          <w:p w14:paraId="79059973" w14:textId="28598CB8" w:rsidR="00301782" w:rsidRPr="00301782" w:rsidRDefault="00301782" w:rsidP="00301782">
            <w:pPr>
              <w:rPr>
                <w:rFonts w:cs="Arial"/>
                <w:szCs w:val="20"/>
              </w:rPr>
            </w:pPr>
            <w:r w:rsidRPr="00301782">
              <w:rPr>
                <w:rFonts w:cs="Arial"/>
                <w:color w:val="000000"/>
                <w:szCs w:val="20"/>
              </w:rPr>
              <w:t xml:space="preserve">$12.20 </w:t>
            </w:r>
          </w:p>
        </w:tc>
      </w:tr>
      <w:tr w:rsidR="00301782" w14:paraId="1FFCDF5F" w14:textId="77777777" w:rsidTr="000E3054">
        <w:tc>
          <w:tcPr>
            <w:tcW w:w="7933" w:type="dxa"/>
          </w:tcPr>
          <w:p w14:paraId="4101F6A7" w14:textId="77777777" w:rsidR="00301782" w:rsidRDefault="00301782" w:rsidP="00301782">
            <w:pPr>
              <w:rPr>
                <w:rFonts w:cs="Arial"/>
              </w:rPr>
            </w:pPr>
            <w:r w:rsidRPr="00C216AA">
              <w:rPr>
                <w:rFonts w:cs="Arial"/>
              </w:rPr>
              <w:t>WC Financing (45 days)+Credit Cost</w:t>
            </w:r>
          </w:p>
        </w:tc>
        <w:tc>
          <w:tcPr>
            <w:tcW w:w="1698" w:type="dxa"/>
            <w:vAlign w:val="bottom"/>
          </w:tcPr>
          <w:p w14:paraId="036049D3" w14:textId="0E783F52" w:rsidR="00301782" w:rsidRPr="00301782" w:rsidRDefault="00301782" w:rsidP="00301782">
            <w:pPr>
              <w:rPr>
                <w:rFonts w:cs="Arial"/>
                <w:szCs w:val="20"/>
              </w:rPr>
            </w:pPr>
            <w:r w:rsidRPr="00301782">
              <w:rPr>
                <w:rFonts w:cs="Arial"/>
                <w:szCs w:val="20"/>
              </w:rPr>
              <w:t xml:space="preserve">$3.10 </w:t>
            </w:r>
          </w:p>
        </w:tc>
      </w:tr>
      <w:tr w:rsidR="00301782" w14:paraId="452CAD8D" w14:textId="77777777" w:rsidTr="000E3054">
        <w:tc>
          <w:tcPr>
            <w:tcW w:w="7933" w:type="dxa"/>
          </w:tcPr>
          <w:p w14:paraId="4312106F" w14:textId="77777777" w:rsidR="00301782" w:rsidRDefault="00301782" w:rsidP="00301782">
            <w:pPr>
              <w:rPr>
                <w:rFonts w:cs="Arial"/>
              </w:rPr>
            </w:pPr>
            <w:r w:rsidRPr="00C216AA">
              <w:rPr>
                <w:rFonts w:cs="Arial"/>
              </w:rPr>
              <w:t>Operating Overhead</w:t>
            </w:r>
          </w:p>
        </w:tc>
        <w:tc>
          <w:tcPr>
            <w:tcW w:w="1698" w:type="dxa"/>
            <w:vAlign w:val="bottom"/>
          </w:tcPr>
          <w:p w14:paraId="270D52C2" w14:textId="3621E36A" w:rsidR="00301782" w:rsidRPr="00301782" w:rsidRDefault="00301782" w:rsidP="00301782">
            <w:pPr>
              <w:rPr>
                <w:rFonts w:cs="Arial"/>
                <w:szCs w:val="20"/>
              </w:rPr>
            </w:pPr>
            <w:r w:rsidRPr="00301782">
              <w:rPr>
                <w:rFonts w:cs="Arial"/>
                <w:color w:val="000000"/>
                <w:szCs w:val="20"/>
              </w:rPr>
              <w:t xml:space="preserve">$1.45 </w:t>
            </w:r>
          </w:p>
        </w:tc>
      </w:tr>
      <w:tr w:rsidR="00301782" w14:paraId="2D5E6B76" w14:textId="77777777" w:rsidTr="000E3054">
        <w:tc>
          <w:tcPr>
            <w:tcW w:w="7933" w:type="dxa"/>
          </w:tcPr>
          <w:p w14:paraId="5E0AC23A" w14:textId="77777777" w:rsidR="00301782" w:rsidRDefault="00301782" w:rsidP="00301782">
            <w:pPr>
              <w:rPr>
                <w:rFonts w:cs="Arial"/>
              </w:rPr>
            </w:pPr>
            <w:r w:rsidRPr="00C216AA">
              <w:rPr>
                <w:rFonts w:cs="Arial"/>
              </w:rPr>
              <w:t>Inspection/Port Cost/License</w:t>
            </w:r>
          </w:p>
        </w:tc>
        <w:tc>
          <w:tcPr>
            <w:tcW w:w="1698" w:type="dxa"/>
            <w:vAlign w:val="bottom"/>
          </w:tcPr>
          <w:p w14:paraId="5DCA1A43" w14:textId="4D1E1CF1" w:rsidR="00301782" w:rsidRPr="00301782" w:rsidRDefault="00301782" w:rsidP="00301782">
            <w:pPr>
              <w:rPr>
                <w:rFonts w:cs="Arial"/>
                <w:szCs w:val="20"/>
              </w:rPr>
            </w:pPr>
            <w:r w:rsidRPr="00301782">
              <w:rPr>
                <w:rFonts w:cs="Arial"/>
                <w:color w:val="000000"/>
                <w:szCs w:val="20"/>
              </w:rPr>
              <w:t xml:space="preserve">$0.50 </w:t>
            </w:r>
          </w:p>
        </w:tc>
      </w:tr>
      <w:tr w:rsidR="00301782" w14:paraId="44EBD416" w14:textId="77777777" w:rsidTr="000E3054">
        <w:tc>
          <w:tcPr>
            <w:tcW w:w="7933" w:type="dxa"/>
          </w:tcPr>
          <w:p w14:paraId="1A4D4FA8" w14:textId="77777777" w:rsidR="00301782" w:rsidRDefault="00301782" w:rsidP="00301782">
            <w:pPr>
              <w:rPr>
                <w:rFonts w:cs="Arial"/>
              </w:rPr>
            </w:pPr>
          </w:p>
        </w:tc>
        <w:tc>
          <w:tcPr>
            <w:tcW w:w="1698" w:type="dxa"/>
            <w:vAlign w:val="bottom"/>
          </w:tcPr>
          <w:p w14:paraId="22F5A5F1" w14:textId="77777777" w:rsidR="00301782" w:rsidRPr="00301782" w:rsidRDefault="00301782" w:rsidP="00301782">
            <w:pPr>
              <w:rPr>
                <w:rFonts w:cs="Arial"/>
                <w:szCs w:val="20"/>
              </w:rPr>
            </w:pPr>
          </w:p>
        </w:tc>
      </w:tr>
      <w:tr w:rsidR="00301782" w14:paraId="38F9FE9B" w14:textId="77777777" w:rsidTr="000E3054">
        <w:tc>
          <w:tcPr>
            <w:tcW w:w="7933" w:type="dxa"/>
          </w:tcPr>
          <w:p w14:paraId="2634190D" w14:textId="0E497293" w:rsidR="00301782" w:rsidRDefault="00110EA1" w:rsidP="00301782">
            <w:pPr>
              <w:rPr>
                <w:rFonts w:cs="Arial"/>
              </w:rPr>
            </w:pPr>
            <w:r w:rsidRPr="00110EA1">
              <w:rPr>
                <w:rFonts w:cs="Arial"/>
              </w:rPr>
              <w:t>Operating Break Even (FOB Purchase Price - Barges+)</w:t>
            </w:r>
          </w:p>
        </w:tc>
        <w:tc>
          <w:tcPr>
            <w:tcW w:w="1698" w:type="dxa"/>
            <w:vAlign w:val="bottom"/>
          </w:tcPr>
          <w:p w14:paraId="37B1BF05" w14:textId="174935AD" w:rsidR="00301782" w:rsidRPr="00301782" w:rsidRDefault="00301782" w:rsidP="00301782">
            <w:pPr>
              <w:rPr>
                <w:rFonts w:cs="Arial"/>
                <w:szCs w:val="20"/>
              </w:rPr>
            </w:pPr>
            <w:r w:rsidRPr="00301782">
              <w:rPr>
                <w:rFonts w:cs="Arial"/>
                <w:color w:val="000000"/>
                <w:szCs w:val="20"/>
              </w:rPr>
              <w:t xml:space="preserve">$22.75 </w:t>
            </w:r>
          </w:p>
        </w:tc>
      </w:tr>
      <w:tr w:rsidR="00301782" w14:paraId="34AA9028" w14:textId="77777777" w:rsidTr="000E3054">
        <w:tc>
          <w:tcPr>
            <w:tcW w:w="7933" w:type="dxa"/>
          </w:tcPr>
          <w:p w14:paraId="69A94757" w14:textId="77777777" w:rsidR="00301782" w:rsidRDefault="00301782" w:rsidP="00301782">
            <w:pPr>
              <w:rPr>
                <w:rFonts w:cs="Arial"/>
              </w:rPr>
            </w:pPr>
          </w:p>
        </w:tc>
        <w:tc>
          <w:tcPr>
            <w:tcW w:w="1698" w:type="dxa"/>
            <w:vAlign w:val="bottom"/>
          </w:tcPr>
          <w:p w14:paraId="1E22B5F1" w14:textId="77777777" w:rsidR="00301782" w:rsidRPr="00301782" w:rsidRDefault="00301782" w:rsidP="00301782">
            <w:pPr>
              <w:rPr>
                <w:rFonts w:cs="Arial"/>
                <w:szCs w:val="20"/>
              </w:rPr>
            </w:pPr>
          </w:p>
        </w:tc>
      </w:tr>
      <w:tr w:rsidR="00301782" w14:paraId="7CE8B8AA" w14:textId="77777777" w:rsidTr="000E3054">
        <w:tc>
          <w:tcPr>
            <w:tcW w:w="7933" w:type="dxa"/>
          </w:tcPr>
          <w:p w14:paraId="0E690B74" w14:textId="12EE947E" w:rsidR="00301782" w:rsidRDefault="00110EA1" w:rsidP="00301782">
            <w:pPr>
              <w:rPr>
                <w:rFonts w:cs="Arial"/>
              </w:rPr>
            </w:pPr>
            <w:r w:rsidRPr="00110EA1">
              <w:rPr>
                <w:rFonts w:cs="Arial"/>
              </w:rPr>
              <w:t>Published Bunker price VLSFO Premium over Barges 0.5% (2021)</w:t>
            </w:r>
          </w:p>
        </w:tc>
        <w:tc>
          <w:tcPr>
            <w:tcW w:w="1698" w:type="dxa"/>
            <w:vAlign w:val="bottom"/>
          </w:tcPr>
          <w:p w14:paraId="6EE9081A" w14:textId="6E9CE571" w:rsidR="00301782" w:rsidRPr="00301782" w:rsidRDefault="00301782" w:rsidP="00301782">
            <w:pPr>
              <w:rPr>
                <w:rFonts w:cs="Arial"/>
                <w:szCs w:val="20"/>
              </w:rPr>
            </w:pPr>
            <w:r>
              <w:rPr>
                <w:rFonts w:cs="Arial"/>
                <w:color w:val="000000"/>
                <w:szCs w:val="20"/>
              </w:rPr>
              <w:t>$</w:t>
            </w:r>
            <w:r w:rsidRPr="00301782">
              <w:rPr>
                <w:rFonts w:cs="Arial"/>
                <w:color w:val="000000"/>
                <w:szCs w:val="20"/>
              </w:rPr>
              <w:t xml:space="preserve">12.20 </w:t>
            </w:r>
          </w:p>
        </w:tc>
      </w:tr>
      <w:tr w:rsidR="00301782" w14:paraId="420680D4" w14:textId="77777777" w:rsidTr="000E3054">
        <w:tc>
          <w:tcPr>
            <w:tcW w:w="7933" w:type="dxa"/>
          </w:tcPr>
          <w:p w14:paraId="07014F44" w14:textId="77777777" w:rsidR="00301782" w:rsidRDefault="00301782" w:rsidP="00301782">
            <w:pPr>
              <w:rPr>
                <w:rFonts w:cs="Arial"/>
              </w:rPr>
            </w:pPr>
          </w:p>
        </w:tc>
        <w:tc>
          <w:tcPr>
            <w:tcW w:w="1698" w:type="dxa"/>
            <w:vAlign w:val="bottom"/>
          </w:tcPr>
          <w:p w14:paraId="584AA0C5" w14:textId="77777777" w:rsidR="00301782" w:rsidRPr="00301782" w:rsidRDefault="00301782" w:rsidP="00301782">
            <w:pPr>
              <w:rPr>
                <w:rFonts w:cs="Arial"/>
                <w:szCs w:val="20"/>
              </w:rPr>
            </w:pPr>
          </w:p>
        </w:tc>
      </w:tr>
      <w:tr w:rsidR="00301782" w14:paraId="5538EC7C" w14:textId="77777777" w:rsidTr="000E3054">
        <w:tc>
          <w:tcPr>
            <w:tcW w:w="7933" w:type="dxa"/>
          </w:tcPr>
          <w:p w14:paraId="0E892800" w14:textId="0009D29F" w:rsidR="00301782" w:rsidRPr="00110EA1" w:rsidRDefault="00110EA1" w:rsidP="00301782">
            <w:pPr>
              <w:rPr>
                <w:rFonts w:cs="Arial"/>
              </w:rPr>
            </w:pPr>
            <w:r w:rsidRPr="00110EA1">
              <w:rPr>
                <w:rFonts w:cs="Arial"/>
              </w:rPr>
              <w:t>Observed VLSFO Premium over Barges 0.5% (2021)</w:t>
            </w:r>
          </w:p>
        </w:tc>
        <w:tc>
          <w:tcPr>
            <w:tcW w:w="1698" w:type="dxa"/>
            <w:vAlign w:val="bottom"/>
          </w:tcPr>
          <w:p w14:paraId="3ED03974" w14:textId="141B17B7" w:rsidR="00301782" w:rsidRPr="00301782" w:rsidRDefault="00301782" w:rsidP="00301782">
            <w:pPr>
              <w:rPr>
                <w:rFonts w:cs="Arial"/>
                <w:szCs w:val="20"/>
              </w:rPr>
            </w:pPr>
            <w:r w:rsidRPr="00301782">
              <w:rPr>
                <w:rFonts w:cs="Arial"/>
                <w:color w:val="000000"/>
                <w:szCs w:val="20"/>
              </w:rPr>
              <w:t xml:space="preserve">$7.00 </w:t>
            </w:r>
          </w:p>
        </w:tc>
      </w:tr>
      <w:tr w:rsidR="00301782" w14:paraId="198C3C57" w14:textId="77777777" w:rsidTr="000E3054">
        <w:tc>
          <w:tcPr>
            <w:tcW w:w="7933" w:type="dxa"/>
          </w:tcPr>
          <w:p w14:paraId="03D5269E" w14:textId="77777777" w:rsidR="00301782" w:rsidRDefault="00301782" w:rsidP="00301782">
            <w:pPr>
              <w:rPr>
                <w:rFonts w:cs="Arial"/>
              </w:rPr>
            </w:pPr>
          </w:p>
        </w:tc>
        <w:tc>
          <w:tcPr>
            <w:tcW w:w="1698" w:type="dxa"/>
            <w:vAlign w:val="bottom"/>
          </w:tcPr>
          <w:p w14:paraId="23373F83" w14:textId="77777777" w:rsidR="00301782" w:rsidRPr="00301782" w:rsidRDefault="00301782" w:rsidP="00301782">
            <w:pPr>
              <w:rPr>
                <w:rFonts w:cs="Arial"/>
                <w:szCs w:val="20"/>
              </w:rPr>
            </w:pPr>
          </w:p>
        </w:tc>
      </w:tr>
      <w:tr w:rsidR="00301782" w14:paraId="1FB8777E" w14:textId="77777777" w:rsidTr="000E3054">
        <w:tc>
          <w:tcPr>
            <w:tcW w:w="7933" w:type="dxa"/>
          </w:tcPr>
          <w:p w14:paraId="33F38E7A" w14:textId="4ABC1952" w:rsidR="00301782" w:rsidRPr="00D25A76" w:rsidRDefault="00110EA1" w:rsidP="00301782">
            <w:pPr>
              <w:rPr>
                <w:rFonts w:cs="Arial"/>
                <w:b/>
                <w:bCs/>
              </w:rPr>
            </w:pPr>
            <w:r w:rsidRPr="00D25A76">
              <w:rPr>
                <w:rFonts w:cs="Arial"/>
                <w:b/>
                <w:bCs/>
              </w:rPr>
              <w:t>Supplier Operating Loss per MT</w:t>
            </w:r>
          </w:p>
        </w:tc>
        <w:tc>
          <w:tcPr>
            <w:tcW w:w="1698" w:type="dxa"/>
            <w:vAlign w:val="bottom"/>
          </w:tcPr>
          <w:p w14:paraId="21ADB2FE" w14:textId="6E697E1A" w:rsidR="00301782" w:rsidRPr="00110EA1" w:rsidRDefault="00301782" w:rsidP="00301782">
            <w:pPr>
              <w:rPr>
                <w:rFonts w:cs="Arial"/>
                <w:b/>
                <w:bCs/>
                <w:szCs w:val="20"/>
              </w:rPr>
            </w:pPr>
            <w:r w:rsidRPr="00110EA1">
              <w:rPr>
                <w:rFonts w:cs="Arial"/>
                <w:b/>
                <w:bCs/>
                <w:color w:val="000000" w:themeColor="text1"/>
                <w:szCs w:val="20"/>
              </w:rPr>
              <w:t>$(15.75)</w:t>
            </w:r>
          </w:p>
        </w:tc>
      </w:tr>
      <w:tr w:rsidR="00301782" w14:paraId="76BB893F" w14:textId="77777777" w:rsidTr="000E3054">
        <w:tc>
          <w:tcPr>
            <w:tcW w:w="7933" w:type="dxa"/>
          </w:tcPr>
          <w:p w14:paraId="2707A137" w14:textId="77777777" w:rsidR="00301782" w:rsidRPr="00D25A76" w:rsidRDefault="00301782" w:rsidP="00301782">
            <w:pPr>
              <w:rPr>
                <w:rFonts w:cs="Arial"/>
                <w:b/>
                <w:bCs/>
              </w:rPr>
            </w:pPr>
          </w:p>
        </w:tc>
        <w:tc>
          <w:tcPr>
            <w:tcW w:w="1698" w:type="dxa"/>
            <w:vAlign w:val="bottom"/>
          </w:tcPr>
          <w:p w14:paraId="6AC08502" w14:textId="77777777" w:rsidR="00301782" w:rsidRPr="00301782" w:rsidRDefault="00301782" w:rsidP="00301782">
            <w:pPr>
              <w:rPr>
                <w:rFonts w:cs="Arial"/>
                <w:color w:val="FF0000"/>
                <w:szCs w:val="20"/>
              </w:rPr>
            </w:pPr>
          </w:p>
        </w:tc>
      </w:tr>
      <w:tr w:rsidR="00301782" w14:paraId="4F247092" w14:textId="77777777" w:rsidTr="000E3054">
        <w:tc>
          <w:tcPr>
            <w:tcW w:w="7933" w:type="dxa"/>
          </w:tcPr>
          <w:p w14:paraId="00228908" w14:textId="72FB313B" w:rsidR="00301782" w:rsidRPr="00D25A76" w:rsidRDefault="00110EA1" w:rsidP="00301782">
            <w:pPr>
              <w:rPr>
                <w:rFonts w:cs="Arial"/>
                <w:b/>
                <w:bCs/>
              </w:rPr>
            </w:pPr>
            <w:r w:rsidRPr="00110EA1">
              <w:rPr>
                <w:rFonts w:cs="Arial"/>
                <w:b/>
                <w:bCs/>
              </w:rPr>
              <w:t>Total RT $ Impact (Total RT 2021 - 9,592,145 MTs)</w:t>
            </w:r>
          </w:p>
        </w:tc>
        <w:tc>
          <w:tcPr>
            <w:tcW w:w="1698" w:type="dxa"/>
            <w:vAlign w:val="bottom"/>
          </w:tcPr>
          <w:p w14:paraId="47EFA1F1" w14:textId="6017953E" w:rsidR="00301782" w:rsidRPr="00110EA1" w:rsidRDefault="00301782" w:rsidP="00301782">
            <w:pPr>
              <w:rPr>
                <w:rFonts w:cs="Arial"/>
                <w:b/>
                <w:bCs/>
                <w:color w:val="FF0000"/>
                <w:szCs w:val="20"/>
              </w:rPr>
            </w:pPr>
            <w:r w:rsidRPr="00110EA1">
              <w:rPr>
                <w:rFonts w:cs="Arial"/>
                <w:b/>
                <w:bCs/>
                <w:color w:val="000000" w:themeColor="text1"/>
                <w:szCs w:val="20"/>
              </w:rPr>
              <w:t>$(151,076,284)</w:t>
            </w:r>
          </w:p>
        </w:tc>
      </w:tr>
      <w:tr w:rsidR="00301782" w14:paraId="0EEF9E44" w14:textId="77777777" w:rsidTr="000E3054">
        <w:tc>
          <w:tcPr>
            <w:tcW w:w="7933" w:type="dxa"/>
          </w:tcPr>
          <w:p w14:paraId="7A3600AD" w14:textId="77777777" w:rsidR="00301782" w:rsidRPr="00D25A76" w:rsidRDefault="00301782" w:rsidP="000E3054">
            <w:pPr>
              <w:rPr>
                <w:rFonts w:cs="Arial"/>
                <w:b/>
                <w:bCs/>
              </w:rPr>
            </w:pPr>
          </w:p>
        </w:tc>
        <w:tc>
          <w:tcPr>
            <w:tcW w:w="1698" w:type="dxa"/>
            <w:vAlign w:val="bottom"/>
          </w:tcPr>
          <w:p w14:paraId="04C4DA19" w14:textId="77777777" w:rsidR="00301782" w:rsidRPr="00C216AA" w:rsidRDefault="00301782" w:rsidP="000E3054">
            <w:pPr>
              <w:rPr>
                <w:rFonts w:cs="Arial"/>
                <w:color w:val="FF0000"/>
                <w:szCs w:val="20"/>
              </w:rPr>
            </w:pPr>
          </w:p>
        </w:tc>
      </w:tr>
    </w:tbl>
    <w:p w14:paraId="447B198A" w14:textId="77777777" w:rsidR="00D81147" w:rsidRDefault="00D81147" w:rsidP="00110EA1">
      <w:pPr>
        <w:pStyle w:val="Caption"/>
        <w:jc w:val="left"/>
        <w:rPr>
          <w:rFonts w:cs="Arial"/>
        </w:rPr>
      </w:pPr>
    </w:p>
    <w:p w14:paraId="4059F98F" w14:textId="2FBB9D6A" w:rsidR="00382E6D" w:rsidRPr="00504924" w:rsidRDefault="00382E6D" w:rsidP="00301782">
      <w:pPr>
        <w:pStyle w:val="Heading1"/>
        <w:rPr>
          <w:sz w:val="20"/>
          <w:szCs w:val="20"/>
        </w:rPr>
      </w:pPr>
      <w:r w:rsidRPr="00504924">
        <w:rPr>
          <w:sz w:val="20"/>
          <w:szCs w:val="20"/>
        </w:rPr>
        <w:t xml:space="preserve">Table </w:t>
      </w:r>
      <w:r w:rsidRPr="00504924">
        <w:rPr>
          <w:sz w:val="20"/>
          <w:szCs w:val="20"/>
        </w:rPr>
        <w:fldChar w:fldCharType="begin"/>
      </w:r>
      <w:r w:rsidRPr="00504924">
        <w:rPr>
          <w:sz w:val="20"/>
          <w:szCs w:val="20"/>
        </w:rPr>
        <w:instrText xml:space="preserve"> SEQ Table \* ARABIC </w:instrText>
      </w:r>
      <w:r w:rsidRPr="00504924">
        <w:rPr>
          <w:sz w:val="20"/>
          <w:szCs w:val="20"/>
        </w:rPr>
        <w:fldChar w:fldCharType="separate"/>
      </w:r>
      <w:r w:rsidRPr="00504924">
        <w:rPr>
          <w:sz w:val="20"/>
          <w:szCs w:val="20"/>
        </w:rPr>
        <w:t>2</w:t>
      </w:r>
      <w:r w:rsidRPr="00504924">
        <w:rPr>
          <w:sz w:val="20"/>
          <w:szCs w:val="20"/>
        </w:rPr>
        <w:fldChar w:fldCharType="end"/>
      </w:r>
      <w:r w:rsidRPr="00504924">
        <w:rPr>
          <w:sz w:val="20"/>
          <w:szCs w:val="20"/>
        </w:rPr>
        <w:t>: Rotterdam - True Bunkering Economics</w:t>
      </w:r>
    </w:p>
    <w:p w14:paraId="4B92A5EA" w14:textId="77777777" w:rsidR="00301782" w:rsidRPr="00301782" w:rsidRDefault="00301782" w:rsidP="00301782"/>
    <w:p w14:paraId="73A3465D" w14:textId="77777777" w:rsidR="00382E6D" w:rsidRDefault="00382E6D" w:rsidP="00382E6D">
      <w:pPr>
        <w:rPr>
          <w:rFonts w:cs="Arial"/>
        </w:rPr>
      </w:pPr>
      <w:r w:rsidRPr="000E3054">
        <w:rPr>
          <w:rFonts w:cs="Arial"/>
        </w:rPr>
        <w:t>Table 2 illustrates that in Rotterdam the average supplier is or should be operating $15.75/mt below a true breakeven.  When calculated over the entirety of 2021, Rotterdam volume indicates a total loss of approximately $151 million for buyers, charterers and owners.</w:t>
      </w:r>
      <w:r>
        <w:rPr>
          <w:rFonts w:cs="Arial"/>
        </w:rPr>
        <w:t xml:space="preserve"> </w:t>
      </w:r>
      <w:r w:rsidRPr="000E3054">
        <w:rPr>
          <w:rFonts w:cs="Arial"/>
        </w:rPr>
        <w:t>In the case of Rotterdam, we have identified underreporting of published bunker prices by approximately $5/mt when compared to the actual price data from suppliers.</w:t>
      </w:r>
      <w:r>
        <w:rPr>
          <w:rFonts w:cs="Arial"/>
        </w:rPr>
        <w:t xml:space="preserve"> </w:t>
      </w:r>
      <w:r w:rsidRPr="000E3054">
        <w:rPr>
          <w:rFonts w:cs="Arial"/>
        </w:rPr>
        <w:t xml:space="preserve">We did not find this issue in Fujairah. </w:t>
      </w:r>
      <w:r>
        <w:rPr>
          <w:rFonts w:cs="Arial"/>
        </w:rPr>
        <w:t xml:space="preserve"> </w:t>
      </w:r>
      <w:r w:rsidRPr="000E3054">
        <w:rPr>
          <w:rFonts w:cs="Arial"/>
        </w:rPr>
        <w:t>Even when this underreporting is ignored, the total loss still exceeds $100 million.</w:t>
      </w:r>
    </w:p>
    <w:p w14:paraId="56C7B96A" w14:textId="0D962740" w:rsidR="00382E6D" w:rsidRDefault="00382E6D" w:rsidP="00382E6D">
      <w:pPr>
        <w:rPr>
          <w:rFonts w:cs="Arial"/>
        </w:rPr>
      </w:pPr>
    </w:p>
    <w:p w14:paraId="546C895B" w14:textId="62DE505B" w:rsidR="00504924" w:rsidRDefault="00504924" w:rsidP="00382E6D">
      <w:pPr>
        <w:rPr>
          <w:rFonts w:cs="Arial"/>
        </w:rPr>
      </w:pPr>
    </w:p>
    <w:p w14:paraId="05BDAD45" w14:textId="0C0E61CD" w:rsidR="00504924" w:rsidRPr="00504924" w:rsidRDefault="00504924" w:rsidP="00504924">
      <w:pPr>
        <w:pStyle w:val="Heading1"/>
      </w:pPr>
      <w:r w:rsidRPr="00504924">
        <w:t>Conclusion</w:t>
      </w:r>
    </w:p>
    <w:p w14:paraId="472108E0" w14:textId="2E09A4CD" w:rsidR="00382E6D" w:rsidRPr="00AB43AE" w:rsidRDefault="00382E6D" w:rsidP="00AB43AE">
      <w:pPr>
        <w:pStyle w:val="pf0"/>
        <w:rPr>
          <w:rFonts w:cs="Arial"/>
          <w:szCs w:val="20"/>
        </w:rPr>
      </w:pPr>
      <w:r w:rsidRPr="00AB43AE">
        <w:rPr>
          <w:rFonts w:ascii="Arial" w:hAnsi="Arial" w:cs="Arial"/>
          <w:sz w:val="20"/>
          <w:szCs w:val="20"/>
        </w:rPr>
        <w:t xml:space="preserve">We believe the evidence is clear; that the buyers of fuel in both ports are disadvantaged and are not receiving the volume of bunkers they are being billed for. </w:t>
      </w:r>
      <w:r w:rsidR="00C6252F" w:rsidRPr="00AB43AE">
        <w:rPr>
          <w:rStyle w:val="cf01"/>
          <w:rFonts w:ascii="Arial" w:hAnsi="Arial" w:cs="Arial"/>
          <w:sz w:val="20"/>
          <w:szCs w:val="20"/>
        </w:rPr>
        <w:t xml:space="preserve">This is largely due to </w:t>
      </w:r>
      <w:r w:rsidR="00C6252F">
        <w:rPr>
          <w:rStyle w:val="cf01"/>
          <w:rFonts w:ascii="Arial" w:hAnsi="Arial" w:cs="Arial"/>
          <w:sz w:val="20"/>
          <w:szCs w:val="20"/>
        </w:rPr>
        <w:t xml:space="preserve">intentional </w:t>
      </w:r>
      <w:r w:rsidR="00C6252F" w:rsidRPr="00AB43AE">
        <w:rPr>
          <w:rStyle w:val="cf01"/>
          <w:rFonts w:ascii="Arial" w:hAnsi="Arial" w:cs="Arial"/>
          <w:sz w:val="20"/>
          <w:szCs w:val="20"/>
        </w:rPr>
        <w:t xml:space="preserve">volumetric shortages as well as legacy operational and attitudinal practices </w:t>
      </w:r>
      <w:r w:rsidR="00C6252F">
        <w:rPr>
          <w:rStyle w:val="cf01"/>
          <w:rFonts w:ascii="Arial" w:hAnsi="Arial" w:cs="Arial"/>
          <w:sz w:val="20"/>
          <w:szCs w:val="20"/>
        </w:rPr>
        <w:t xml:space="preserve">in shipping and bunkering </w:t>
      </w:r>
      <w:r w:rsidR="00C6252F" w:rsidRPr="00AB43AE">
        <w:rPr>
          <w:rStyle w:val="cf01"/>
          <w:rFonts w:ascii="Arial" w:hAnsi="Arial" w:cs="Arial"/>
          <w:sz w:val="20"/>
          <w:szCs w:val="20"/>
        </w:rPr>
        <w:t xml:space="preserve">that need to evolve. To help address this breadth of factors, we do believe that the introduction of properly certified mass flow meters in combination with a robust licensing, certification and enforcement regulation will do much to eliminate these issues. </w:t>
      </w:r>
      <w:r w:rsidRPr="00AB43AE">
        <w:rPr>
          <w:rFonts w:ascii="Arial" w:hAnsi="Arial" w:cs="Arial"/>
          <w:sz w:val="20"/>
          <w:szCs w:val="20"/>
        </w:rPr>
        <w:t xml:space="preserve">Blue </w:t>
      </w:r>
      <w:r w:rsidRPr="00AB43AE">
        <w:rPr>
          <w:rFonts w:ascii="Arial" w:hAnsi="Arial" w:cs="Arial"/>
          <w:i/>
          <w:iCs/>
          <w:sz w:val="20"/>
          <w:szCs w:val="20"/>
        </w:rPr>
        <w:t xml:space="preserve">Insight </w:t>
      </w:r>
      <w:r w:rsidRPr="00AB43AE">
        <w:rPr>
          <w:rFonts w:ascii="Arial" w:hAnsi="Arial" w:cs="Arial"/>
          <w:sz w:val="20"/>
          <w:szCs w:val="20"/>
        </w:rPr>
        <w:t xml:space="preserve">will report later in the year once a global analysis has been completed on the true extent of this problem and a continuing challenge that serves to impact the sector’s reputation.   </w:t>
      </w:r>
    </w:p>
    <w:p w14:paraId="74A3E568" w14:textId="3F2213B1" w:rsidR="00811BA0" w:rsidRPr="00382E6D" w:rsidRDefault="00811BA0" w:rsidP="00382E6D"/>
    <w:sectPr w:rsidR="00811BA0" w:rsidRPr="00382E6D" w:rsidSect="00D331FA">
      <w:headerReference w:type="default" r:id="rId6"/>
      <w:pgSz w:w="11909" w:h="16834" w:code="9"/>
      <w:pgMar w:top="198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1858" w14:textId="77777777" w:rsidR="00D56CB9" w:rsidRDefault="00D56CB9" w:rsidP="006E1795">
      <w:r>
        <w:separator/>
      </w:r>
    </w:p>
  </w:endnote>
  <w:endnote w:type="continuationSeparator" w:id="0">
    <w:p w14:paraId="6EAA29AB" w14:textId="77777777" w:rsidR="00D56CB9" w:rsidRDefault="00D56CB9" w:rsidP="006E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CE73" w14:textId="77777777" w:rsidR="00D56CB9" w:rsidRDefault="00D56CB9" w:rsidP="006E1795">
      <w:r>
        <w:separator/>
      </w:r>
    </w:p>
  </w:footnote>
  <w:footnote w:type="continuationSeparator" w:id="0">
    <w:p w14:paraId="402C522C" w14:textId="77777777" w:rsidR="00D56CB9" w:rsidRDefault="00D56CB9" w:rsidP="006E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C2F0" w14:textId="0496BE97" w:rsidR="00D331FA" w:rsidRDefault="00C34B21">
    <w:pPr>
      <w:pStyle w:val="Header"/>
    </w:pPr>
    <w:r>
      <w:rPr>
        <w:noProof/>
        <w:lang w:val="en-US"/>
      </w:rPr>
      <w:drawing>
        <wp:anchor distT="0" distB="0" distL="114300" distR="114300" simplePos="0" relativeHeight="251659264" behindDoc="1" locked="0" layoutInCell="1" allowOverlap="1" wp14:anchorId="261A6CC4" wp14:editId="2C2C0444">
          <wp:simplePos x="0" y="0"/>
          <wp:positionH relativeFrom="column">
            <wp:posOffset>5064760</wp:posOffset>
          </wp:positionH>
          <wp:positionV relativeFrom="page">
            <wp:posOffset>556241</wp:posOffset>
          </wp:positionV>
          <wp:extent cx="1062990" cy="319405"/>
          <wp:effectExtent l="0" t="0" r="3810" b="0"/>
          <wp:wrapNone/>
          <wp:docPr id="4" name="Picture 4" descr="A picture containing text,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990" cy="319405"/>
                  </a:xfrm>
                  <a:prstGeom prst="rect">
                    <a:avLst/>
                  </a:prstGeom>
                </pic:spPr>
              </pic:pic>
            </a:graphicData>
          </a:graphic>
          <wp14:sizeRelH relativeFrom="page">
            <wp14:pctWidth>0</wp14:pctWidth>
          </wp14:sizeRelH>
          <wp14:sizeRelV relativeFrom="page">
            <wp14:pctHeight>0</wp14:pctHeight>
          </wp14:sizeRelV>
        </wp:anchor>
      </w:drawing>
    </w:r>
    <w:r w:rsidR="00D331FA">
      <w:rPr>
        <w:noProof/>
        <w:lang w:val="en-US"/>
      </w:rPr>
      <w:drawing>
        <wp:anchor distT="0" distB="0" distL="114300" distR="114300" simplePos="0" relativeHeight="251658240" behindDoc="1" locked="0" layoutInCell="1" allowOverlap="1" wp14:anchorId="02995E47" wp14:editId="6E618AE4">
          <wp:simplePos x="0" y="0"/>
          <wp:positionH relativeFrom="column">
            <wp:posOffset>3810</wp:posOffset>
          </wp:positionH>
          <wp:positionV relativeFrom="paragraph">
            <wp:posOffset>4445</wp:posOffset>
          </wp:positionV>
          <wp:extent cx="1602464" cy="482185"/>
          <wp:effectExtent l="0" t="0" r="0" b="63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2464" cy="4821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60"/>
    <w:rsid w:val="000106C2"/>
    <w:rsid w:val="00101188"/>
    <w:rsid w:val="00104C15"/>
    <w:rsid w:val="00110EA1"/>
    <w:rsid w:val="00111E2F"/>
    <w:rsid w:val="00114020"/>
    <w:rsid w:val="00191BB1"/>
    <w:rsid w:val="001E785B"/>
    <w:rsid w:val="001F2DEA"/>
    <w:rsid w:val="001F787C"/>
    <w:rsid w:val="002616F8"/>
    <w:rsid w:val="00290B2E"/>
    <w:rsid w:val="00290E4D"/>
    <w:rsid w:val="002B1A4F"/>
    <w:rsid w:val="00301782"/>
    <w:rsid w:val="00382E6D"/>
    <w:rsid w:val="003F19FA"/>
    <w:rsid w:val="003F7FF9"/>
    <w:rsid w:val="00402CEF"/>
    <w:rsid w:val="004108E7"/>
    <w:rsid w:val="00424DFF"/>
    <w:rsid w:val="00440845"/>
    <w:rsid w:val="00467233"/>
    <w:rsid w:val="00490C8B"/>
    <w:rsid w:val="004E6A34"/>
    <w:rsid w:val="00504924"/>
    <w:rsid w:val="00541F4F"/>
    <w:rsid w:val="00556194"/>
    <w:rsid w:val="005B6E24"/>
    <w:rsid w:val="00621BB0"/>
    <w:rsid w:val="00633F94"/>
    <w:rsid w:val="006561E3"/>
    <w:rsid w:val="00663565"/>
    <w:rsid w:val="006D78DD"/>
    <w:rsid w:val="006E1795"/>
    <w:rsid w:val="00750FCF"/>
    <w:rsid w:val="00763A0A"/>
    <w:rsid w:val="007A2337"/>
    <w:rsid w:val="007C4166"/>
    <w:rsid w:val="007E5AF0"/>
    <w:rsid w:val="00800057"/>
    <w:rsid w:val="00806784"/>
    <w:rsid w:val="00807F45"/>
    <w:rsid w:val="00811BA0"/>
    <w:rsid w:val="008214CE"/>
    <w:rsid w:val="008B74D3"/>
    <w:rsid w:val="008F0D1E"/>
    <w:rsid w:val="009766F6"/>
    <w:rsid w:val="00991A9D"/>
    <w:rsid w:val="009C1CE9"/>
    <w:rsid w:val="009D5BB1"/>
    <w:rsid w:val="00A0400F"/>
    <w:rsid w:val="00A16694"/>
    <w:rsid w:val="00A363CD"/>
    <w:rsid w:val="00A64A09"/>
    <w:rsid w:val="00AB43AE"/>
    <w:rsid w:val="00AF78F5"/>
    <w:rsid w:val="00B567DE"/>
    <w:rsid w:val="00B6217A"/>
    <w:rsid w:val="00B83923"/>
    <w:rsid w:val="00B94523"/>
    <w:rsid w:val="00C06AB1"/>
    <w:rsid w:val="00C11E60"/>
    <w:rsid w:val="00C216AA"/>
    <w:rsid w:val="00C34B21"/>
    <w:rsid w:val="00C406A5"/>
    <w:rsid w:val="00C6252F"/>
    <w:rsid w:val="00CC037B"/>
    <w:rsid w:val="00CC300D"/>
    <w:rsid w:val="00D01242"/>
    <w:rsid w:val="00D0435A"/>
    <w:rsid w:val="00D25A76"/>
    <w:rsid w:val="00D331FA"/>
    <w:rsid w:val="00D56CB9"/>
    <w:rsid w:val="00D81147"/>
    <w:rsid w:val="00D9350B"/>
    <w:rsid w:val="00DF74D1"/>
    <w:rsid w:val="00E32641"/>
    <w:rsid w:val="00E4526D"/>
    <w:rsid w:val="00ED588A"/>
    <w:rsid w:val="00EE4FA4"/>
    <w:rsid w:val="00F67077"/>
    <w:rsid w:val="00FA5E24"/>
    <w:rsid w:val="00FA6E81"/>
    <w:rsid w:val="00FB6C77"/>
    <w:rsid w:val="00FC137D"/>
    <w:rsid w:val="00FD59F0"/>
    <w:rsid w:val="00FE5173"/>
    <w:rsid w:val="00FF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24374"/>
  <w15:chartTrackingRefBased/>
  <w15:docId w15:val="{22935E79-DE06-2C47-9E9A-C1E55133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565"/>
    <w:rPr>
      <w:rFonts w:ascii="Arial" w:hAnsi="Arial"/>
      <w:szCs w:val="24"/>
      <w:lang w:eastAsia="en-US"/>
    </w:rPr>
  </w:style>
  <w:style w:type="paragraph" w:styleId="Heading1">
    <w:name w:val="heading 1"/>
    <w:basedOn w:val="Normal"/>
    <w:next w:val="Normal"/>
    <w:qFormat/>
    <w:rsid w:val="001F2DEA"/>
    <w:pPr>
      <w:keepNext/>
      <w:outlineLvl w:val="0"/>
    </w:pPr>
    <w:rPr>
      <w:b/>
      <w:bCs/>
      <w:color w:val="0060AA"/>
      <w:sz w:val="24"/>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rPr>
  </w:style>
  <w:style w:type="paragraph" w:styleId="Header">
    <w:name w:val="header"/>
    <w:basedOn w:val="Normal"/>
    <w:link w:val="HeaderChar"/>
    <w:rsid w:val="006E1795"/>
    <w:pPr>
      <w:tabs>
        <w:tab w:val="center" w:pos="4513"/>
        <w:tab w:val="right" w:pos="9026"/>
      </w:tabs>
    </w:pPr>
  </w:style>
  <w:style w:type="character" w:customStyle="1" w:styleId="HeaderChar">
    <w:name w:val="Header Char"/>
    <w:link w:val="Header"/>
    <w:rsid w:val="006E1795"/>
    <w:rPr>
      <w:sz w:val="24"/>
      <w:szCs w:val="24"/>
      <w:lang w:eastAsia="en-US"/>
    </w:rPr>
  </w:style>
  <w:style w:type="paragraph" w:styleId="Footer">
    <w:name w:val="footer"/>
    <w:basedOn w:val="Normal"/>
    <w:link w:val="FooterChar"/>
    <w:rsid w:val="006E1795"/>
    <w:pPr>
      <w:tabs>
        <w:tab w:val="center" w:pos="4513"/>
        <w:tab w:val="right" w:pos="9026"/>
      </w:tabs>
    </w:pPr>
  </w:style>
  <w:style w:type="character" w:customStyle="1" w:styleId="FooterChar">
    <w:name w:val="Footer Char"/>
    <w:link w:val="Footer"/>
    <w:rsid w:val="006E1795"/>
    <w:rPr>
      <w:sz w:val="24"/>
      <w:szCs w:val="24"/>
      <w:lang w:eastAsia="en-US"/>
    </w:rPr>
  </w:style>
  <w:style w:type="table" w:styleId="TableGrid">
    <w:name w:val="Table Grid"/>
    <w:basedOn w:val="TableNormal"/>
    <w:rsid w:val="00C40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785B"/>
    <w:rPr>
      <w:rFonts w:ascii="Segoe UI" w:hAnsi="Segoe UI" w:cs="Segoe UI"/>
      <w:sz w:val="18"/>
      <w:szCs w:val="18"/>
    </w:rPr>
  </w:style>
  <w:style w:type="character" w:customStyle="1" w:styleId="BalloonTextChar">
    <w:name w:val="Balloon Text Char"/>
    <w:basedOn w:val="DefaultParagraphFont"/>
    <w:link w:val="BalloonText"/>
    <w:rsid w:val="001E785B"/>
    <w:rPr>
      <w:rFonts w:ascii="Segoe UI" w:hAnsi="Segoe UI" w:cs="Segoe UI"/>
      <w:sz w:val="18"/>
      <w:szCs w:val="18"/>
      <w:lang w:eastAsia="en-US"/>
    </w:rPr>
  </w:style>
  <w:style w:type="character" w:styleId="CommentReference">
    <w:name w:val="annotation reference"/>
    <w:basedOn w:val="DefaultParagraphFont"/>
    <w:rsid w:val="001E785B"/>
    <w:rPr>
      <w:sz w:val="16"/>
      <w:szCs w:val="16"/>
    </w:rPr>
  </w:style>
  <w:style w:type="paragraph" w:styleId="CommentText">
    <w:name w:val="annotation text"/>
    <w:basedOn w:val="Normal"/>
    <w:link w:val="CommentTextChar"/>
    <w:rsid w:val="001E785B"/>
    <w:rPr>
      <w:szCs w:val="20"/>
    </w:rPr>
  </w:style>
  <w:style w:type="character" w:customStyle="1" w:styleId="CommentTextChar">
    <w:name w:val="Comment Text Char"/>
    <w:basedOn w:val="DefaultParagraphFont"/>
    <w:link w:val="CommentText"/>
    <w:rsid w:val="001E785B"/>
    <w:rPr>
      <w:rFonts w:ascii="Arial" w:hAnsi="Arial"/>
      <w:lang w:eastAsia="en-US"/>
    </w:rPr>
  </w:style>
  <w:style w:type="paragraph" w:styleId="CommentSubject">
    <w:name w:val="annotation subject"/>
    <w:basedOn w:val="CommentText"/>
    <w:next w:val="CommentText"/>
    <w:link w:val="CommentSubjectChar"/>
    <w:rsid w:val="001E785B"/>
    <w:rPr>
      <w:b/>
      <w:bCs/>
    </w:rPr>
  </w:style>
  <w:style w:type="character" w:customStyle="1" w:styleId="CommentSubjectChar">
    <w:name w:val="Comment Subject Char"/>
    <w:basedOn w:val="CommentTextChar"/>
    <w:link w:val="CommentSubject"/>
    <w:rsid w:val="001E785B"/>
    <w:rPr>
      <w:rFonts w:ascii="Arial" w:hAnsi="Arial"/>
      <w:b/>
      <w:bCs/>
      <w:lang w:eastAsia="en-US"/>
    </w:rPr>
  </w:style>
  <w:style w:type="paragraph" w:styleId="Revision">
    <w:name w:val="Revision"/>
    <w:hidden/>
    <w:uiPriority w:val="99"/>
    <w:semiHidden/>
    <w:rsid w:val="00B94523"/>
    <w:rPr>
      <w:rFonts w:ascii="Arial" w:hAnsi="Arial"/>
      <w:szCs w:val="24"/>
      <w:lang w:eastAsia="en-US"/>
    </w:rPr>
  </w:style>
  <w:style w:type="paragraph" w:customStyle="1" w:styleId="pf0">
    <w:name w:val="pf0"/>
    <w:basedOn w:val="Normal"/>
    <w:rsid w:val="00C6252F"/>
    <w:pPr>
      <w:spacing w:before="100" w:beforeAutospacing="1" w:after="100" w:afterAutospacing="1"/>
    </w:pPr>
    <w:rPr>
      <w:rFonts w:ascii="Times New Roman" w:hAnsi="Times New Roman"/>
      <w:sz w:val="24"/>
      <w:lang w:val="en-US"/>
    </w:rPr>
  </w:style>
  <w:style w:type="character" w:customStyle="1" w:styleId="cf01">
    <w:name w:val="cf01"/>
    <w:basedOn w:val="DefaultParagraphFont"/>
    <w:rsid w:val="00C625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OCVA</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Finance</dc:creator>
  <cp:keywords/>
  <cp:lastModifiedBy>Adrian Tolson</cp:lastModifiedBy>
  <cp:revision>2</cp:revision>
  <cp:lastPrinted>2014-04-24T08:55:00Z</cp:lastPrinted>
  <dcterms:created xsi:type="dcterms:W3CDTF">2022-04-07T11:56:00Z</dcterms:created>
  <dcterms:modified xsi:type="dcterms:W3CDTF">2022-04-07T11:56:00Z</dcterms:modified>
</cp:coreProperties>
</file>